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DE3B34" w14:textId="7675352D" w:rsidR="00850BA7" w:rsidRPr="00502372" w:rsidRDefault="004A6671" w:rsidP="009F1D1E">
      <w:pPr>
        <w:jc w:val="center"/>
        <w:rPr>
          <w:rFonts w:cstheme="minorHAnsi"/>
          <w:b/>
          <w:sz w:val="24"/>
          <w:szCs w:val="24"/>
        </w:rPr>
      </w:pPr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1B96FC" wp14:editId="70C710F3">
                <wp:simplePos x="0" y="0"/>
                <wp:positionH relativeFrom="page">
                  <wp:posOffset>838200</wp:posOffset>
                </wp:positionH>
                <wp:positionV relativeFrom="page">
                  <wp:posOffset>6686550</wp:posOffset>
                </wp:positionV>
                <wp:extent cx="5819775" cy="1695450"/>
                <wp:effectExtent l="19050" t="19050" r="28575" b="1905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6954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A6261" w14:textId="4093E839" w:rsidR="00BB6370" w:rsidRDefault="00BB6370" w:rsidP="00721CA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What will the restriction mean in practice?</w:t>
                            </w:r>
                          </w:p>
                          <w:p w14:paraId="24D04287" w14:textId="39D179FF" w:rsidR="00BB6370" w:rsidRPr="00605A49" w:rsidRDefault="00605A49" w:rsidP="00605A49">
                            <w:pPr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The proposed restriction will prevent </w:t>
                            </w:r>
                            <w:r w:rsidRPr="00605A4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potential future releases of intentionally used C9-C14 PFCAs, their salts and related substances into the environment.</w:t>
                            </w:r>
                          </w:p>
                          <w:p w14:paraId="50B41806" w14:textId="27B96ADC" w:rsidR="00BB6370" w:rsidRPr="00605A49" w:rsidRDefault="00605A49" w:rsidP="00605A49">
                            <w:pPr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605A49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05A4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he potential compliance costs for industry (if any) are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A4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described based on the cost estimates for switching from ‘C8 chemistry’ to ‘C6 chemistry’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A4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reported in the PFOA restriction </w:t>
                            </w:r>
                            <w:hyperlink r:id="rId12" w:history="1">
                              <w:r w:rsidR="00FD4986">
                                <w:rPr>
                                  <w:rStyle w:val="Hyperlink"/>
                                  <w:bCs/>
                                  <w:iCs/>
                                  <w:sz w:val="20"/>
                                  <w:szCs w:val="20"/>
                                </w:rPr>
                                <w:t>report</w:t>
                              </w:r>
                            </w:hyperlink>
                            <w:r w:rsidRPr="00605A4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BB6370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Se</w:t>
                            </w:r>
                            <w:r w:rsidR="00BB6370" w:rsidRPr="0019627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e more information on the proposed </w:t>
                            </w:r>
                            <w:r w:rsidR="00BB6370" w:rsidRPr="00FD498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restriction</w:t>
                            </w:r>
                            <w:r w:rsidR="00FD4986" w:rsidRPr="00FD498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D4986" w:rsidRPr="00FD4986">
                                <w:rPr>
                                  <w:rStyle w:val="Hyperlink"/>
                                  <w:bCs/>
                                  <w:i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FD4986" w:rsidRPr="00FD498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FD498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A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66pt;margin-top:526.5pt;width:458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" o:allowincell="f" fillcolor="#daeef3 [664]" strokecolor="#4f81bd [3204]" strokeweight="3pt">
                <v:textbox>
                  <w:txbxContent>
                    <w:p w14:paraId="0A7A6261" w14:textId="4093E839" w:rsidR="00BB6370" w:rsidRDefault="00BB6370" w:rsidP="00721CA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What will the restriction mean in practice?</w:t>
                      </w:r>
                    </w:p>
                    <w:p w14:paraId="24D04287" w14:textId="39D179FF" w:rsidR="00BB6370" w:rsidRPr="00605A49" w:rsidRDefault="00605A49" w:rsidP="00605A49">
                      <w:pPr>
                        <w:spacing w:line="240" w:lineRule="auto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The proposed restriction will prevent </w:t>
                      </w:r>
                      <w:r w:rsidRPr="00605A49">
                        <w:rPr>
                          <w:bCs/>
                          <w:iCs/>
                          <w:sz w:val="20"/>
                          <w:szCs w:val="20"/>
                        </w:rPr>
                        <w:t>potential future releases of intentionally used C9-C14 PFCAs, their salts and related substances into the environment.</w:t>
                      </w:r>
                    </w:p>
                    <w:p w14:paraId="50B41806" w14:textId="27B96ADC" w:rsidR="00BB6370" w:rsidRPr="00605A49" w:rsidRDefault="00605A49" w:rsidP="00605A49">
                      <w:pPr>
                        <w:spacing w:line="240" w:lineRule="auto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605A49">
                        <w:rPr>
                          <w:sz w:val="20"/>
                          <w:szCs w:val="20"/>
                        </w:rPr>
                        <w:t>T</w:t>
                      </w:r>
                      <w:r w:rsidRPr="00605A49">
                        <w:rPr>
                          <w:bCs/>
                          <w:iCs/>
                          <w:sz w:val="20"/>
                          <w:szCs w:val="20"/>
                        </w:rPr>
                        <w:t>he potential compliance costs for industry (if any) are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05A49">
                        <w:rPr>
                          <w:bCs/>
                          <w:iCs/>
                          <w:sz w:val="20"/>
                          <w:szCs w:val="20"/>
                        </w:rPr>
                        <w:t>described based on the cost estimates for switching from ‘C8 chemistry’ to ‘C6 chemistry’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05A49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reported in the PFOA restriction </w:t>
                      </w:r>
                      <w:hyperlink r:id="rId14" w:history="1">
                        <w:r w:rsidR="00FD4986">
                          <w:rPr>
                            <w:rStyle w:val="Hyperlink"/>
                            <w:bCs/>
                            <w:iCs/>
                            <w:sz w:val="20"/>
                            <w:szCs w:val="20"/>
                          </w:rPr>
                          <w:t>report</w:t>
                        </w:r>
                      </w:hyperlink>
                      <w:r w:rsidRPr="00605A49">
                        <w:rPr>
                          <w:bCs/>
                          <w:iCs/>
                          <w:sz w:val="20"/>
                          <w:szCs w:val="20"/>
                        </w:rPr>
                        <w:t>.</w:t>
                      </w:r>
                      <w:r w:rsidR="00BB6370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 Se</w:t>
                      </w:r>
                      <w:r w:rsidR="00BB6370" w:rsidRPr="00196279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e more information on the proposed </w:t>
                      </w:r>
                      <w:r w:rsidR="00BB6370" w:rsidRPr="00FD4986">
                        <w:rPr>
                          <w:bCs/>
                          <w:iCs/>
                          <w:sz w:val="20"/>
                          <w:szCs w:val="20"/>
                        </w:rPr>
                        <w:t>restriction</w:t>
                      </w:r>
                      <w:r w:rsidR="00FD4986" w:rsidRPr="00FD4986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FD4986" w:rsidRPr="00FD4986">
                          <w:rPr>
                            <w:rStyle w:val="Hyperlink"/>
                            <w:bCs/>
                            <w:iCs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FD4986" w:rsidRPr="00FD4986">
                        <w:rPr>
                          <w:bCs/>
                          <w:iCs/>
                          <w:sz w:val="20"/>
                          <w:szCs w:val="20"/>
                        </w:rPr>
                        <w:t>.</w:t>
                      </w:r>
                      <w:r w:rsidR="00FD4986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05A4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023372" wp14:editId="35701522">
                <wp:simplePos x="0" y="0"/>
                <wp:positionH relativeFrom="page">
                  <wp:posOffset>838200</wp:posOffset>
                </wp:positionH>
                <wp:positionV relativeFrom="page">
                  <wp:posOffset>8401050</wp:posOffset>
                </wp:positionV>
                <wp:extent cx="5848350" cy="971550"/>
                <wp:effectExtent l="19050" t="19050" r="19050" b="19050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715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FD785" w14:textId="18E6EF84" w:rsidR="00BB6370" w:rsidRDefault="00BB6370" w:rsidP="00721CA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How can interested parties or the public have their say?</w:t>
                            </w:r>
                          </w:p>
                          <w:p w14:paraId="4188EB03" w14:textId="4E4A45DE" w:rsidR="00BB6370" w:rsidRPr="00853A89" w:rsidRDefault="00BB6370" w:rsidP="00642024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A89">
                              <w:rPr>
                                <w:sz w:val="20"/>
                                <w:szCs w:val="20"/>
                              </w:rPr>
                              <w:t xml:space="preserve">Interested parties can submit comments to the European Commission during the public consultation until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A89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853A89">
                              <w:rPr>
                                <w:sz w:val="20"/>
                                <w:szCs w:val="20"/>
                              </w:rPr>
                              <w:t xml:space="preserve"> at the latest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, but preferably by 16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February 2018</w:t>
                            </w:r>
                            <w:r w:rsidRPr="00853A89">
                              <w:rPr>
                                <w:sz w:val="20"/>
                                <w:szCs w:val="20"/>
                              </w:rPr>
                              <w:t xml:space="preserve"> using the online submissions form 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link </w:t>
                            </w:r>
                            <w:hyperlink r:id="rId16" w:history="1">
                              <w:r w:rsidR="00FD498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FD498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66pt;margin-top:661.5pt;width:460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" o:allowincell="f" fillcolor="#dbe5f1 [660]" strokecolor="#4f81bd [3204]" strokeweight="3pt">
                <v:textbox>
                  <w:txbxContent>
                    <w:p w14:paraId="424FD785" w14:textId="18E6EF84" w:rsidR="00BB6370" w:rsidRDefault="00BB6370" w:rsidP="00721CA7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How can interested parties or the public have their say?</w:t>
                      </w:r>
                    </w:p>
                    <w:p w14:paraId="4188EB03" w14:textId="4E4A45DE" w:rsidR="00BB6370" w:rsidRPr="00853A89" w:rsidRDefault="00BB6370" w:rsidP="00642024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53A89">
                        <w:rPr>
                          <w:sz w:val="20"/>
                          <w:szCs w:val="20"/>
                        </w:rPr>
                        <w:t xml:space="preserve">Interested parties can submit comments to the European Commission during the public consultation until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D4986">
                        <w:rPr>
                          <w:sz w:val="20"/>
                          <w:szCs w:val="20"/>
                        </w:rPr>
                        <w:t>0</w:t>
                      </w:r>
                      <w:r w:rsidR="00FD4986" w:rsidRPr="00FD498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3A89">
                        <w:rPr>
                          <w:sz w:val="20"/>
                          <w:szCs w:val="20"/>
                        </w:rPr>
                        <w:t>201</w:t>
                      </w:r>
                      <w:r w:rsidR="00FD4986">
                        <w:rPr>
                          <w:sz w:val="20"/>
                          <w:szCs w:val="20"/>
                        </w:rPr>
                        <w:t>8</w:t>
                      </w:r>
                      <w:r w:rsidRPr="00853A89">
                        <w:rPr>
                          <w:sz w:val="20"/>
                          <w:szCs w:val="20"/>
                        </w:rPr>
                        <w:t xml:space="preserve"> at the latest</w:t>
                      </w:r>
                      <w:r w:rsidR="00FD4986">
                        <w:rPr>
                          <w:sz w:val="20"/>
                          <w:szCs w:val="20"/>
                        </w:rPr>
                        <w:t>, but preferably by 16</w:t>
                      </w:r>
                      <w:r w:rsidR="00FD4986" w:rsidRPr="00FD498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February 2018</w:t>
                      </w:r>
                      <w:r w:rsidRPr="00853A89">
                        <w:rPr>
                          <w:sz w:val="20"/>
                          <w:szCs w:val="20"/>
                        </w:rPr>
                        <w:t xml:space="preserve"> using the online submissions form at </w:t>
                      </w:r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link </w:t>
                      </w:r>
                      <w:hyperlink r:id="rId17" w:history="1">
                        <w:r w:rsidR="00FD4986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FD4986">
                        <w:rPr>
                          <w:rStyle w:val="Hyperlink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8A3BD1B" wp14:editId="0985E5A1">
                <wp:simplePos x="0" y="0"/>
                <wp:positionH relativeFrom="page">
                  <wp:posOffset>933450</wp:posOffset>
                </wp:positionH>
                <wp:positionV relativeFrom="page">
                  <wp:posOffset>2724150</wp:posOffset>
                </wp:positionV>
                <wp:extent cx="5819775" cy="3962400"/>
                <wp:effectExtent l="19050" t="19050" r="28575" b="1905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9624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9311E" w14:textId="77777777" w:rsidR="00BB6370" w:rsidRDefault="00BB6370" w:rsidP="00A027D0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</w:t>
                            </w:r>
                            <w:r>
                              <w:rPr>
                                <w:b/>
                                <w:i/>
                              </w:rPr>
                              <w:t>y is there a need for action?</w:t>
                            </w:r>
                          </w:p>
                          <w:p w14:paraId="4D131174" w14:textId="77777777" w:rsidR="004A6671" w:rsidRDefault="00BB6370" w:rsidP="004A6671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B637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05A49">
                              <w:rPr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 xml:space="preserve">restriction for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 xml:space="preserve">Perfluorooctanoic acid 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>PFOA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 xml:space="preserve">, its salts and PFOA-related substances </w:t>
                            </w:r>
                            <w:r w:rsidR="00005E12">
                              <w:rPr>
                                <w:sz w:val="20"/>
                                <w:szCs w:val="20"/>
                              </w:rPr>
                              <w:t xml:space="preserve">becomes 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 xml:space="preserve">effective in 2020.  PFOA 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</w:rPr>
                              <w:t>may cause severe and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</w:rPr>
                              <w:t xml:space="preserve">irreversible adverse effects on the environment and human 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health and is a 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 xml:space="preserve">PBT substance (persistent, bioaccumulative and toxic).  </w:t>
                            </w:r>
                            <w:r w:rsidR="004A6671" w:rsidRPr="004A6671">
                              <w:rPr>
                                <w:sz w:val="20"/>
                                <w:szCs w:val="20"/>
                              </w:rPr>
                              <w:t xml:space="preserve">PFCAs are synthetic compounds and </w:t>
                            </w:r>
                            <w:r w:rsidR="004A6671">
                              <w:rPr>
                                <w:sz w:val="20"/>
                                <w:szCs w:val="20"/>
                              </w:rPr>
                              <w:t>are classified</w:t>
                            </w:r>
                            <w:r w:rsidR="004A6671" w:rsidRPr="004A6671">
                              <w:rPr>
                                <w:sz w:val="20"/>
                                <w:szCs w:val="20"/>
                              </w:rPr>
                              <w:t xml:space="preserve"> as Carc. 2 and Repr. 1B and can cause damage to human health. In addition,</w:t>
                            </w:r>
                            <w:r w:rsidR="004A66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671" w:rsidRPr="004A6671">
                              <w:rPr>
                                <w:sz w:val="20"/>
                                <w:szCs w:val="20"/>
                              </w:rPr>
                              <w:t>C9-C14 PFCAs are bioaccumulative and belong to the most persistent chemical substances</w:t>
                            </w:r>
                            <w:r w:rsidR="004A66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671" w:rsidRPr="004A6671">
                              <w:rPr>
                                <w:sz w:val="20"/>
                                <w:szCs w:val="20"/>
                              </w:rPr>
                              <w:t>known</w:t>
                            </w:r>
                            <w:r w:rsidR="004A66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BE117F" w14:textId="3E6F8B79" w:rsidR="00BB6370" w:rsidRDefault="00BB6370" w:rsidP="004A6671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B6370">
                              <w:rPr>
                                <w:sz w:val="20"/>
                                <w:szCs w:val="20"/>
                              </w:rPr>
                              <w:t>This restriction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05A49" w:rsidRPr="00605A49">
                              <w:rPr>
                                <w:sz w:val="20"/>
                                <w:szCs w:val="20"/>
                              </w:rPr>
                              <w:t xml:space="preserve">C9-C14 Perfluorocarboxylic acids (PFCAs), their salts and related substances 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 xml:space="preserve">is intended to prevent a switch by industry previously using PFOA-based substances (‘C8  chemistry’) to longer chain PFCAs (‘C9-14 chemistry’) to fulfil the same role in the end products. PFOA has been used because of its special properties such as high friction resistance, dielectric  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B6370">
                              <w:rPr>
                                <w:sz w:val="20"/>
                                <w:szCs w:val="20"/>
                              </w:rPr>
                              <w:t>roperties, resistance to heat and chemical agents, low surface energy, as well as water, grease, oil, and dirt repellence.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A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184B38" w14:textId="72F7AB83" w:rsidR="00C1247D" w:rsidRPr="00C1247D" w:rsidRDefault="00C1247D" w:rsidP="00C1247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247D">
                              <w:rPr>
                                <w:sz w:val="20"/>
                                <w:szCs w:val="20"/>
                              </w:rPr>
                              <w:t>PFCAs themselves do not undergo any further abiotic or biotic degradation under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47D">
                              <w:rPr>
                                <w:sz w:val="20"/>
                                <w:szCs w:val="20"/>
                              </w:rPr>
                              <w:t>environmentally relevant conditions. They have a high water solubility (compared to 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47D">
                              <w:rPr>
                                <w:sz w:val="20"/>
                                <w:szCs w:val="20"/>
                              </w:rPr>
                              <w:t>PBT substances) leading to relatively high mobility in water bodies and between different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47D">
                              <w:rPr>
                                <w:sz w:val="20"/>
                                <w:szCs w:val="20"/>
                              </w:rPr>
                              <w:t>environmental compartments. They can also be transported over long distances via theatmosphere and aquatic environment. As a result they are found ubiquitously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47D">
                              <w:rPr>
                                <w:sz w:val="20"/>
                                <w:szCs w:val="20"/>
                              </w:rPr>
                              <w:t>environment, even in remote areas, as confirmed in biomonitoring data from polar species such as polar bears and seals, as well as in human body fluids such as serum and breastmilk.</w:t>
                            </w:r>
                          </w:p>
                          <w:p w14:paraId="5B96E209" w14:textId="5ADA9D20" w:rsidR="00BB6370" w:rsidRDefault="00BB6370" w:rsidP="004840B4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73.5pt;margin-top:214.5pt;width:458.25pt;height:3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" o:allowincell="f" fillcolor="#dbe5f1 [660]" strokecolor="#4f81bd [3204]" strokeweight="3pt">
                <v:textbox>
                  <w:txbxContent>
                    <w:p w14:paraId="1439311E" w14:textId="77777777" w:rsidR="00BB6370" w:rsidRDefault="00BB6370" w:rsidP="00A027D0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</w:t>
                      </w:r>
                      <w:r>
                        <w:rPr>
                          <w:b/>
                          <w:i/>
                        </w:rPr>
                        <w:t>y is there a need for action?</w:t>
                      </w:r>
                    </w:p>
                    <w:p w14:paraId="4D131174" w14:textId="77777777" w:rsidR="004A6671" w:rsidRDefault="00BB6370" w:rsidP="004A6671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B6370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05A49">
                        <w:rPr>
                          <w:sz w:val="20"/>
                          <w:szCs w:val="20"/>
                        </w:rPr>
                        <w:t xml:space="preserve">previous </w:t>
                      </w:r>
                      <w:r w:rsidRPr="00BB6370">
                        <w:rPr>
                          <w:sz w:val="20"/>
                          <w:szCs w:val="20"/>
                        </w:rPr>
                        <w:t xml:space="preserve">restriction for </w:t>
                      </w:r>
                      <w:proofErr w:type="spellStart"/>
                      <w:r w:rsidR="00C1247D" w:rsidRPr="00C1247D">
                        <w:rPr>
                          <w:sz w:val="20"/>
                          <w:szCs w:val="20"/>
                        </w:rPr>
                        <w:t>Perfluorooctanoic</w:t>
                      </w:r>
                      <w:proofErr w:type="spellEnd"/>
                      <w:r w:rsidR="00C1247D" w:rsidRPr="00C1247D">
                        <w:rPr>
                          <w:sz w:val="20"/>
                          <w:szCs w:val="20"/>
                        </w:rPr>
                        <w:t xml:space="preserve"> acid </w:t>
                      </w:r>
                      <w:r w:rsidR="00C1247D">
                        <w:rPr>
                          <w:sz w:val="20"/>
                          <w:szCs w:val="20"/>
                        </w:rPr>
                        <w:t>(</w:t>
                      </w:r>
                      <w:r w:rsidRPr="00BB6370">
                        <w:rPr>
                          <w:sz w:val="20"/>
                          <w:szCs w:val="20"/>
                        </w:rPr>
                        <w:t>PFOA</w:t>
                      </w:r>
                      <w:r w:rsidR="00C1247D">
                        <w:rPr>
                          <w:sz w:val="20"/>
                          <w:szCs w:val="20"/>
                        </w:rPr>
                        <w:t>)</w:t>
                      </w:r>
                      <w:r w:rsidRPr="00BB6370">
                        <w:rPr>
                          <w:sz w:val="20"/>
                          <w:szCs w:val="20"/>
                        </w:rPr>
                        <w:t xml:space="preserve">, its salts and PFOA-related substances </w:t>
                      </w:r>
                      <w:r w:rsidR="00005E12">
                        <w:rPr>
                          <w:sz w:val="20"/>
                          <w:szCs w:val="20"/>
                        </w:rPr>
                        <w:t xml:space="preserve">becomes </w:t>
                      </w:r>
                      <w:r w:rsidRPr="00BB6370">
                        <w:rPr>
                          <w:sz w:val="20"/>
                          <w:szCs w:val="20"/>
                        </w:rPr>
                        <w:t xml:space="preserve">effective in 2020.  PFOA </w:t>
                      </w:r>
                      <w:r w:rsidR="00FD4986" w:rsidRPr="00FD4986">
                        <w:rPr>
                          <w:sz w:val="20"/>
                          <w:szCs w:val="20"/>
                        </w:rPr>
                        <w:t>may cause severe and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4986" w:rsidRPr="00FD4986">
                        <w:rPr>
                          <w:sz w:val="20"/>
                          <w:szCs w:val="20"/>
                        </w:rPr>
                        <w:t xml:space="preserve">irreversible adverse effects on the environment and human 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health and is a </w:t>
                      </w:r>
                      <w:r w:rsidRPr="00BB6370">
                        <w:rPr>
                          <w:sz w:val="20"/>
                          <w:szCs w:val="20"/>
                        </w:rPr>
                        <w:t xml:space="preserve">PBT substance (persistent, </w:t>
                      </w:r>
                      <w:proofErr w:type="spellStart"/>
                      <w:r w:rsidRPr="00BB6370">
                        <w:rPr>
                          <w:sz w:val="20"/>
                          <w:szCs w:val="20"/>
                        </w:rPr>
                        <w:t>bioaccumulative</w:t>
                      </w:r>
                      <w:proofErr w:type="spellEnd"/>
                      <w:r w:rsidRPr="00BB6370">
                        <w:rPr>
                          <w:sz w:val="20"/>
                          <w:szCs w:val="20"/>
                        </w:rPr>
                        <w:t xml:space="preserve"> and toxic).  </w:t>
                      </w:r>
                      <w:r w:rsidR="004A6671" w:rsidRPr="004A6671">
                        <w:rPr>
                          <w:sz w:val="20"/>
                          <w:szCs w:val="20"/>
                        </w:rPr>
                        <w:t xml:space="preserve">PFCAs are synthetic compounds and </w:t>
                      </w:r>
                      <w:r w:rsidR="004A6671">
                        <w:rPr>
                          <w:sz w:val="20"/>
                          <w:szCs w:val="20"/>
                        </w:rPr>
                        <w:t>are classified</w:t>
                      </w:r>
                      <w:r w:rsidR="004A6671" w:rsidRPr="004A6671">
                        <w:rPr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="004A6671" w:rsidRPr="004A6671">
                        <w:rPr>
                          <w:sz w:val="20"/>
                          <w:szCs w:val="20"/>
                        </w:rPr>
                        <w:t>Carc</w:t>
                      </w:r>
                      <w:proofErr w:type="spellEnd"/>
                      <w:r w:rsidR="004A6671" w:rsidRPr="004A66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4A6671" w:rsidRPr="004A6671">
                        <w:rPr>
                          <w:sz w:val="20"/>
                          <w:szCs w:val="20"/>
                        </w:rPr>
                        <w:t xml:space="preserve">2 and </w:t>
                      </w:r>
                      <w:proofErr w:type="spellStart"/>
                      <w:r w:rsidR="004A6671" w:rsidRPr="004A6671">
                        <w:rPr>
                          <w:sz w:val="20"/>
                          <w:szCs w:val="20"/>
                        </w:rPr>
                        <w:t>Repr</w:t>
                      </w:r>
                      <w:proofErr w:type="spellEnd"/>
                      <w:r w:rsidR="004A6671" w:rsidRPr="004A6671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4A6671" w:rsidRPr="004A6671">
                        <w:rPr>
                          <w:sz w:val="20"/>
                          <w:szCs w:val="20"/>
                        </w:rPr>
                        <w:t xml:space="preserve"> 1B and can cause damage to human health. In addition,</w:t>
                      </w:r>
                      <w:r w:rsidR="004A66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6671" w:rsidRPr="004A6671">
                        <w:rPr>
                          <w:sz w:val="20"/>
                          <w:szCs w:val="20"/>
                        </w:rPr>
                        <w:t xml:space="preserve">C9-C14 PFCAs are </w:t>
                      </w:r>
                      <w:proofErr w:type="spellStart"/>
                      <w:r w:rsidR="004A6671" w:rsidRPr="004A6671">
                        <w:rPr>
                          <w:sz w:val="20"/>
                          <w:szCs w:val="20"/>
                        </w:rPr>
                        <w:t>bioaccumulative</w:t>
                      </w:r>
                      <w:proofErr w:type="spellEnd"/>
                      <w:r w:rsidR="004A6671" w:rsidRPr="004A6671">
                        <w:rPr>
                          <w:sz w:val="20"/>
                          <w:szCs w:val="20"/>
                        </w:rPr>
                        <w:t xml:space="preserve"> and belong to the most persistent chemical substances</w:t>
                      </w:r>
                      <w:r w:rsidR="004A66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6671" w:rsidRPr="004A6671">
                        <w:rPr>
                          <w:sz w:val="20"/>
                          <w:szCs w:val="20"/>
                        </w:rPr>
                        <w:t>known</w:t>
                      </w:r>
                      <w:r w:rsidR="004A667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8BE117F" w14:textId="3E6F8B79" w:rsidR="00BB6370" w:rsidRDefault="00BB6370" w:rsidP="004A6671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B6370">
                        <w:rPr>
                          <w:sz w:val="20"/>
                          <w:szCs w:val="20"/>
                        </w:rPr>
                        <w:t>This restriction</w:t>
                      </w:r>
                      <w:r w:rsidR="00C1247D"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="00605A49" w:rsidRPr="00605A49">
                        <w:rPr>
                          <w:sz w:val="20"/>
                          <w:szCs w:val="20"/>
                        </w:rPr>
                        <w:t xml:space="preserve">C9-C14 </w:t>
                      </w:r>
                      <w:proofErr w:type="spellStart"/>
                      <w:r w:rsidR="00605A49" w:rsidRPr="00605A49">
                        <w:rPr>
                          <w:sz w:val="20"/>
                          <w:szCs w:val="20"/>
                        </w:rPr>
                        <w:t>Perfluorocarboxylic</w:t>
                      </w:r>
                      <w:proofErr w:type="spellEnd"/>
                      <w:r w:rsidR="00605A49" w:rsidRPr="00605A49">
                        <w:rPr>
                          <w:sz w:val="20"/>
                          <w:szCs w:val="20"/>
                        </w:rPr>
                        <w:t xml:space="preserve"> acids (PFCAs), their salts and related substances </w:t>
                      </w:r>
                      <w:r w:rsidRPr="00BB6370">
                        <w:rPr>
                          <w:sz w:val="20"/>
                          <w:szCs w:val="20"/>
                        </w:rPr>
                        <w:t xml:space="preserve">is intended to prevent a switch by industry previously using PFOA-based substances (‘C8  chemistry’) to longer chain PFCAs (‘C9-14 chemistry’) to fulfil the same role in the end products. PFOA has been used because of its special properties such as high friction resistance, </w:t>
                      </w:r>
                      <w:proofErr w:type="gramStart"/>
                      <w:r w:rsidRPr="00BB6370">
                        <w:rPr>
                          <w:sz w:val="20"/>
                          <w:szCs w:val="20"/>
                        </w:rPr>
                        <w:t xml:space="preserve">dielectric  </w:t>
                      </w:r>
                      <w:r w:rsidR="00C1247D">
                        <w:rPr>
                          <w:sz w:val="20"/>
                          <w:szCs w:val="20"/>
                        </w:rPr>
                        <w:t>p</w:t>
                      </w:r>
                      <w:r w:rsidRPr="00BB6370">
                        <w:rPr>
                          <w:sz w:val="20"/>
                          <w:szCs w:val="20"/>
                        </w:rPr>
                        <w:t>roperties</w:t>
                      </w:r>
                      <w:proofErr w:type="gramEnd"/>
                      <w:r w:rsidRPr="00BB6370">
                        <w:rPr>
                          <w:sz w:val="20"/>
                          <w:szCs w:val="20"/>
                        </w:rPr>
                        <w:t>, resistance to heat and chemical agents, low surface energy, as well as water, grease, oil, and dirt repellence.</w:t>
                      </w:r>
                      <w:r w:rsidR="00C124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5A4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184B38" w14:textId="72F7AB83" w:rsidR="00C1247D" w:rsidRPr="00C1247D" w:rsidRDefault="00C1247D" w:rsidP="00C1247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1247D">
                        <w:rPr>
                          <w:sz w:val="20"/>
                          <w:szCs w:val="20"/>
                        </w:rPr>
                        <w:t>PFCAs themselves do not undergo any further abiotic or biotic degradation under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247D">
                        <w:rPr>
                          <w:sz w:val="20"/>
                          <w:szCs w:val="20"/>
                        </w:rPr>
                        <w:t>environmentally relevant conditions. They have a high water solubility (compared to other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247D">
                        <w:rPr>
                          <w:sz w:val="20"/>
                          <w:szCs w:val="20"/>
                        </w:rPr>
                        <w:t>PBT substances) leading to relatively high mobility in water bodies and between different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247D">
                        <w:rPr>
                          <w:sz w:val="20"/>
                          <w:szCs w:val="20"/>
                        </w:rPr>
                        <w:t xml:space="preserve">environmental compartments. They can also be transported over long distances via </w:t>
                      </w:r>
                      <w:proofErr w:type="spellStart"/>
                      <w:r w:rsidRPr="00C1247D">
                        <w:rPr>
                          <w:sz w:val="20"/>
                          <w:szCs w:val="20"/>
                        </w:rPr>
                        <w:t>theatmosphere</w:t>
                      </w:r>
                      <w:proofErr w:type="spellEnd"/>
                      <w:r w:rsidRPr="00C1247D">
                        <w:rPr>
                          <w:sz w:val="20"/>
                          <w:szCs w:val="20"/>
                        </w:rPr>
                        <w:t xml:space="preserve"> and aquatic environment. As a result they are found ubiquitously in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247D">
                        <w:rPr>
                          <w:sz w:val="20"/>
                          <w:szCs w:val="20"/>
                        </w:rPr>
                        <w:t>environment, even in remote areas, as confirmed in biomonitoring data from polar species such as polar bears and seals, as well as in human body fluids such as serum and breastmilk.</w:t>
                      </w:r>
                    </w:p>
                    <w:p w14:paraId="5B96E209" w14:textId="5ADA9D20" w:rsidR="00BB6370" w:rsidRDefault="00BB6370" w:rsidP="004840B4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AEF255" wp14:editId="5A148BF6">
                <wp:simplePos x="0" y="0"/>
                <wp:positionH relativeFrom="page">
                  <wp:posOffset>933450</wp:posOffset>
                </wp:positionH>
                <wp:positionV relativeFrom="page">
                  <wp:posOffset>1181100</wp:posOffset>
                </wp:positionV>
                <wp:extent cx="5819775" cy="1485900"/>
                <wp:effectExtent l="19050" t="19050" r="2857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99A04" w14:textId="77777777" w:rsidR="00BB6370" w:rsidRDefault="00BB6370" w:rsidP="00F9767D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What is the proposal?</w:t>
                            </w:r>
                          </w:p>
                          <w:p w14:paraId="74643D2C" w14:textId="5DB178AF" w:rsidR="00C1247D" w:rsidRPr="00C1247D" w:rsidRDefault="00BB6370" w:rsidP="00C1247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247D">
                              <w:rPr>
                                <w:sz w:val="20"/>
                                <w:szCs w:val="20"/>
                              </w:rPr>
                              <w:t>The German and Swedish Competent Authorities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propose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 xml:space="preserve"> a restriction o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 xml:space="preserve"> C9-C14 Perfluorocarboxylic acids (PFCAs), their salts and related substances (precursors)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5A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The proposal</w:t>
                            </w:r>
                            <w:r w:rsidR="00605A49">
                              <w:rPr>
                                <w:sz w:val="20"/>
                                <w:szCs w:val="20"/>
                              </w:rPr>
                              <w:t xml:space="preserve"> restricts their 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manufacturing,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 xml:space="preserve">use, 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>placing on the market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>and import on their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>own, in a mixture or in an article or parts thereof in a concentration equal to or above 25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>ppb for the sum of C9-C14 PFCAs and their salts or 260 ppb for the sum of C9-C14 PFCA</w:t>
                            </w:r>
                            <w:r w:rsidR="00C124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47D" w:rsidRPr="00C1247D">
                              <w:rPr>
                                <w:sz w:val="20"/>
                                <w:szCs w:val="20"/>
                              </w:rPr>
                              <w:t>related substances.</w:t>
                            </w:r>
                          </w:p>
                          <w:p w14:paraId="36EA364B" w14:textId="448BA3E4" w:rsidR="00BB6370" w:rsidRDefault="00BB6370" w:rsidP="00C124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10B">
                              <w:rPr>
                                <w:sz w:val="20"/>
                                <w:szCs w:val="20"/>
                              </w:rPr>
                              <w:t>See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ECHA website</w:t>
                              </w:r>
                            </w:hyperlink>
                            <w:r w:rsidRPr="00C5610B">
                              <w:rPr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502372">
                              <w:rPr>
                                <w:sz w:val="20"/>
                                <w:szCs w:val="20"/>
                              </w:rPr>
                              <w:t xml:space="preserve"> more</w:t>
                            </w:r>
                            <w:r w:rsidRPr="00F9767D">
                              <w:rPr>
                                <w:sz w:val="20"/>
                                <w:szCs w:val="20"/>
                              </w:rPr>
                              <w:t xml:space="preserve">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left:0;text-align:left;margin-left:73.5pt;margin-top:93pt;width:458.2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" o:allowincell="f" fillcolor="#eaf1dd [662]" strokecolor="#4f81bd [3204]" strokeweight="3pt">
                <v:textbox>
                  <w:txbxContent>
                    <w:p w14:paraId="33599A04" w14:textId="77777777" w:rsidR="00BB6370" w:rsidRDefault="00BB6370" w:rsidP="00F9767D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What is the proposal?</w:t>
                      </w:r>
                    </w:p>
                    <w:p w14:paraId="74643D2C" w14:textId="5DB178AF" w:rsidR="00C1247D" w:rsidRPr="00C1247D" w:rsidRDefault="00BB6370" w:rsidP="00C1247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1247D">
                        <w:rPr>
                          <w:sz w:val="20"/>
                          <w:szCs w:val="20"/>
                        </w:rPr>
                        <w:t>The German and Swedish Competent Authorities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propose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 xml:space="preserve"> a restriction o</w:t>
                      </w:r>
                      <w:r w:rsidR="00FD4986">
                        <w:rPr>
                          <w:sz w:val="20"/>
                          <w:szCs w:val="20"/>
                        </w:rPr>
                        <w:t>f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 xml:space="preserve"> C9-C14 </w:t>
                      </w:r>
                      <w:proofErr w:type="spellStart"/>
                      <w:r w:rsidR="00C1247D" w:rsidRPr="00C1247D">
                        <w:rPr>
                          <w:sz w:val="20"/>
                          <w:szCs w:val="20"/>
                        </w:rPr>
                        <w:t>Perfluorocarboxylic</w:t>
                      </w:r>
                      <w:proofErr w:type="spellEnd"/>
                      <w:r w:rsidR="00C1247D" w:rsidRPr="00C1247D">
                        <w:rPr>
                          <w:sz w:val="20"/>
                          <w:szCs w:val="20"/>
                        </w:rPr>
                        <w:t xml:space="preserve"> acids (PFCAs), their salts and related substances (precursors)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05A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4986">
                        <w:rPr>
                          <w:sz w:val="20"/>
                          <w:szCs w:val="20"/>
                        </w:rPr>
                        <w:t>The proposal</w:t>
                      </w:r>
                      <w:r w:rsidR="00605A49">
                        <w:rPr>
                          <w:sz w:val="20"/>
                          <w:szCs w:val="20"/>
                        </w:rPr>
                        <w:t xml:space="preserve"> restricts their 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manufacturing, 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 xml:space="preserve">use, 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>placing on the market</w:t>
                      </w:r>
                      <w:r w:rsidR="00C124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>and import on their</w:t>
                      </w:r>
                      <w:r w:rsidR="00C124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>own, in a mixture or in an article or parts thereof in a concentration equal to or above 25</w:t>
                      </w:r>
                      <w:r w:rsidR="00C124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>ppb for the sum of C9-C14 PFCAs and their salts or 260 ppb for the sum of C9-C14 PFCA</w:t>
                      </w:r>
                      <w:r w:rsidR="00C124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247D" w:rsidRPr="00C1247D">
                        <w:rPr>
                          <w:sz w:val="20"/>
                          <w:szCs w:val="20"/>
                        </w:rPr>
                        <w:t>related substances.</w:t>
                      </w:r>
                    </w:p>
                    <w:p w14:paraId="36EA364B" w14:textId="448BA3E4" w:rsidR="00BB6370" w:rsidRDefault="00BB6370" w:rsidP="00C124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10B">
                        <w:rPr>
                          <w:sz w:val="20"/>
                          <w:szCs w:val="20"/>
                        </w:rPr>
                        <w:t>See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ECHA website</w:t>
                        </w:r>
                      </w:hyperlink>
                      <w:r w:rsidRPr="00C5610B">
                        <w:rPr>
                          <w:sz w:val="20"/>
                          <w:szCs w:val="20"/>
                        </w:rPr>
                        <w:t xml:space="preserve"> for</w:t>
                      </w:r>
                      <w:r w:rsidRPr="00502372">
                        <w:rPr>
                          <w:sz w:val="20"/>
                          <w:szCs w:val="20"/>
                        </w:rPr>
                        <w:t xml:space="preserve"> more</w:t>
                      </w:r>
                      <w:r w:rsidRPr="00F9767D">
                        <w:rPr>
                          <w:sz w:val="20"/>
                          <w:szCs w:val="20"/>
                        </w:rPr>
                        <w:t xml:space="preserve"> details.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D4986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F623" wp14:editId="7C53C9C2">
                <wp:simplePos x="0" y="0"/>
                <wp:positionH relativeFrom="column">
                  <wp:posOffset>-76200</wp:posOffset>
                </wp:positionH>
                <wp:positionV relativeFrom="paragraph">
                  <wp:posOffset>8467725</wp:posOffset>
                </wp:positionV>
                <wp:extent cx="57245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143" w14:textId="4B8625C1" w:rsidR="00BB6370" w:rsidRPr="00721CA7" w:rsidRDefault="00BB6370" w:rsidP="0064202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The Chemicals Helpdesk of the Health &amp; Safety Authority can answer any questions you may have; please contact the team at </w:t>
                            </w:r>
                            <w:hyperlink r:id="rId20" w:history="1">
                              <w:r w:rsidRPr="00E74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chemicals@hsa.ie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6pt;margin-top:666.75pt;width:450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">
                <v:textbox>
                  <w:txbxContent>
                    <w:p w14:paraId="4FE58143" w14:textId="4B8625C1" w:rsidR="00BB6370" w:rsidRPr="00721CA7" w:rsidRDefault="00BB6370" w:rsidP="0064202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21CA7">
                        <w:rPr>
                          <w:sz w:val="20"/>
                          <w:szCs w:val="20"/>
                        </w:rPr>
                        <w:t xml:space="preserve">The Chemicals Helpdesk of the Health &amp; Safety Authority can answer any questions you may have; please contact the team at </w:t>
                      </w:r>
                      <w:hyperlink r:id="rId21" w:history="1">
                        <w:r w:rsidRPr="00E74927">
                          <w:rPr>
                            <w:rStyle w:val="Hyperlink"/>
                            <w:sz w:val="20"/>
                            <w:szCs w:val="20"/>
                          </w:rPr>
                          <w:t>chemicals@hsa.ie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1CA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D4986">
                        <w:rPr>
                          <w:sz w:val="20"/>
                          <w:szCs w:val="20"/>
                        </w:rPr>
                        <w:t xml:space="preserve">December </w:t>
                      </w: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FD4986">
                        <w:rPr>
                          <w:sz w:val="20"/>
                          <w:szCs w:val="20"/>
                        </w:rPr>
                        <w:t>1</w:t>
                      </w:r>
                      <w:r w:rsidR="00FD4986" w:rsidRPr="00FD498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gramEnd"/>
                      <w:r w:rsidR="00FD498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502372" w:rsidRPr="00502372">
        <w:t xml:space="preserve"> </w:t>
      </w:r>
      <w:r w:rsidR="009F1D1E">
        <w:rPr>
          <w:b/>
          <w:noProof/>
          <w:lang w:val="en-GB" w:eastAsia="en-GB"/>
        </w:rPr>
        <w:t xml:space="preserve">Proposed </w:t>
      </w:r>
      <w:r w:rsidR="00DE766D">
        <w:rPr>
          <w:b/>
          <w:noProof/>
          <w:lang w:val="en-GB" w:eastAsia="en-GB"/>
        </w:rPr>
        <w:t>r</w:t>
      </w:r>
      <w:r w:rsidR="00502372" w:rsidRPr="00502372">
        <w:rPr>
          <w:b/>
          <w:noProof/>
          <w:lang w:val="en-GB" w:eastAsia="en-GB"/>
        </w:rPr>
        <w:t xml:space="preserve">estriction of </w:t>
      </w:r>
      <w:r w:rsidR="004840B4" w:rsidRPr="004840B4">
        <w:rPr>
          <w:b/>
          <w:noProof/>
          <w:lang w:val="en-GB" w:eastAsia="en-GB"/>
        </w:rPr>
        <w:t>PFNA; PFDA; PFUnDA; PFDoDA; PFTrDA; PFTDA; their salts and precursors</w:t>
      </w:r>
      <w:r w:rsidR="009F1D1E" w:rsidRPr="009F1D1E">
        <w:rPr>
          <w:b/>
          <w:noProof/>
          <w:lang w:val="en-GB" w:eastAsia="en-GB"/>
        </w:rPr>
        <w:cr/>
      </w:r>
    </w:p>
    <w:sectPr w:rsidR="00850BA7" w:rsidRPr="00502372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A9FA" w14:textId="77777777" w:rsidR="00A872DD" w:rsidRDefault="00A872DD" w:rsidP="00AA210E">
      <w:pPr>
        <w:spacing w:after="0" w:line="240" w:lineRule="auto"/>
      </w:pPr>
      <w:r>
        <w:separator/>
      </w:r>
    </w:p>
  </w:endnote>
  <w:endnote w:type="continuationSeparator" w:id="0">
    <w:p w14:paraId="218018F4" w14:textId="77777777" w:rsidR="00A872DD" w:rsidRDefault="00A872DD" w:rsidP="00A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E380" w14:textId="77777777" w:rsidR="00BB6370" w:rsidRDefault="00BB6370"/>
  <w:p w14:paraId="74383853" w14:textId="77777777" w:rsidR="00BB6370" w:rsidRDefault="00BB6370" w:rsidP="00AA210E">
    <w:pPr>
      <w:pStyle w:val="FooterOdd"/>
      <w:ind w:left="6480" w:firstLine="720"/>
      <w:jc w:val="left"/>
    </w:pPr>
    <w:r>
      <w:rPr>
        <w:noProof/>
        <w:lang w:val="en-GB" w:eastAsia="en-GB"/>
      </w:rPr>
      <w:drawing>
        <wp:inline distT="0" distB="0" distL="0" distR="0" wp14:anchorId="5A502C22" wp14:editId="50B9FF0C">
          <wp:extent cx="76200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5CA28" w14:textId="77777777" w:rsidR="00BB6370" w:rsidRDefault="00BB6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4B9A" w14:textId="77777777" w:rsidR="00A872DD" w:rsidRDefault="00A872DD" w:rsidP="00AA210E">
      <w:pPr>
        <w:spacing w:after="0" w:line="240" w:lineRule="auto"/>
      </w:pPr>
      <w:r>
        <w:separator/>
      </w:r>
    </w:p>
  </w:footnote>
  <w:footnote w:type="continuationSeparator" w:id="0">
    <w:p w14:paraId="50C6BCFC" w14:textId="77777777" w:rsidR="00A872DD" w:rsidRDefault="00A872DD" w:rsidP="00AA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4"/>
    <w:rsid w:val="00005E12"/>
    <w:rsid w:val="000676B5"/>
    <w:rsid w:val="000C3895"/>
    <w:rsid w:val="00101146"/>
    <w:rsid w:val="001569C1"/>
    <w:rsid w:val="00196279"/>
    <w:rsid w:val="00216F99"/>
    <w:rsid w:val="00261394"/>
    <w:rsid w:val="002C1CCD"/>
    <w:rsid w:val="002D335E"/>
    <w:rsid w:val="002E5CC4"/>
    <w:rsid w:val="002F3245"/>
    <w:rsid w:val="00301D66"/>
    <w:rsid w:val="00343681"/>
    <w:rsid w:val="003A7947"/>
    <w:rsid w:val="003B0089"/>
    <w:rsid w:val="00430D2E"/>
    <w:rsid w:val="004670DE"/>
    <w:rsid w:val="00482C77"/>
    <w:rsid w:val="004840B4"/>
    <w:rsid w:val="00495FE4"/>
    <w:rsid w:val="004A6671"/>
    <w:rsid w:val="00502372"/>
    <w:rsid w:val="0051384E"/>
    <w:rsid w:val="0052499E"/>
    <w:rsid w:val="005D0EA2"/>
    <w:rsid w:val="00605A49"/>
    <w:rsid w:val="00607E11"/>
    <w:rsid w:val="0062587F"/>
    <w:rsid w:val="00642024"/>
    <w:rsid w:val="00692B9E"/>
    <w:rsid w:val="006A72AC"/>
    <w:rsid w:val="006B1607"/>
    <w:rsid w:val="006B779E"/>
    <w:rsid w:val="00721CA7"/>
    <w:rsid w:val="007247C4"/>
    <w:rsid w:val="00803D4C"/>
    <w:rsid w:val="00820315"/>
    <w:rsid w:val="00846A5A"/>
    <w:rsid w:val="00850BA7"/>
    <w:rsid w:val="00853A89"/>
    <w:rsid w:val="00890F7B"/>
    <w:rsid w:val="0092371B"/>
    <w:rsid w:val="00965DD5"/>
    <w:rsid w:val="009A2019"/>
    <w:rsid w:val="009E43D5"/>
    <w:rsid w:val="009F1D1E"/>
    <w:rsid w:val="009F70D8"/>
    <w:rsid w:val="00A027D0"/>
    <w:rsid w:val="00A37C4A"/>
    <w:rsid w:val="00A540C7"/>
    <w:rsid w:val="00A71A06"/>
    <w:rsid w:val="00A74F0C"/>
    <w:rsid w:val="00A872DD"/>
    <w:rsid w:val="00AA210E"/>
    <w:rsid w:val="00AA7AC6"/>
    <w:rsid w:val="00AF6E68"/>
    <w:rsid w:val="00B0174C"/>
    <w:rsid w:val="00B04410"/>
    <w:rsid w:val="00B61F35"/>
    <w:rsid w:val="00B945C8"/>
    <w:rsid w:val="00BA5A8E"/>
    <w:rsid w:val="00BB6370"/>
    <w:rsid w:val="00BE15CD"/>
    <w:rsid w:val="00BE172B"/>
    <w:rsid w:val="00C11745"/>
    <w:rsid w:val="00C1247D"/>
    <w:rsid w:val="00C5610B"/>
    <w:rsid w:val="00D07539"/>
    <w:rsid w:val="00D700F4"/>
    <w:rsid w:val="00D77B32"/>
    <w:rsid w:val="00D8228F"/>
    <w:rsid w:val="00D87B41"/>
    <w:rsid w:val="00DE766D"/>
    <w:rsid w:val="00E02CAD"/>
    <w:rsid w:val="00E334C4"/>
    <w:rsid w:val="00E3472B"/>
    <w:rsid w:val="00EA357B"/>
    <w:rsid w:val="00F22E71"/>
    <w:rsid w:val="00F31572"/>
    <w:rsid w:val="00F60E02"/>
    <w:rsid w:val="00F70E49"/>
    <w:rsid w:val="00F9767D"/>
    <w:rsid w:val="00FB0022"/>
    <w:rsid w:val="00FC0581"/>
    <w:rsid w:val="00FD4986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ha.europa.eu/web/guest/restrictions-under-consideration/-/substance-rev/18115/term" TargetMode="External"/><Relationship Id="rId18" Type="http://schemas.openxmlformats.org/officeDocument/2006/relationships/hyperlink" Target="https://www.echa.europa.eu/web/guest/restrictions-under-consideration/-/substance-rev/18115/ter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emicals@hsa.i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echa.europa.eu/documents/10162/e9cddee6-3164-473d-b590-8fcf9caa50e7" TargetMode="External"/><Relationship Id="rId17" Type="http://schemas.openxmlformats.org/officeDocument/2006/relationships/hyperlink" Target="https://comments.echa.europa.eu/comments_cms/AnnexXVRestrictionDossier.aspx?RObjectId=0b0236e181a843f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ents.echa.europa.eu/comments_cms/AnnexXVRestrictionDossier.aspx?RObjectId=0b0236e181a843f5" TargetMode="External"/><Relationship Id="rId20" Type="http://schemas.openxmlformats.org/officeDocument/2006/relationships/hyperlink" Target="mailto:chemicals@hsa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ha.europa.eu/web/guest/restrictions-under-consideration/-/substance-rev/18115/ter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cha.europa.eu/web/guest/restrictions-under-consideration/-/substance-rev/18115/ter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ha.europa.eu/documents/10162/e9cddee6-3164-473d-b590-8fcf9caa50e7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22de8-a3c4-44f7-809c-5aae864989b7">
      <Value>1121</Value>
      <Value>1780</Value>
      <Value>60</Value>
    </TaxCatchAll>
    <l0439d673390432c8f4760c5a455ac93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</TermName>
          <TermId xmlns="http://schemas.microsoft.com/office/infopath/2007/PartnerControls">54fca94f-533f-4201-8a81-a413902a99b2</TermId>
        </TermInfo>
      </Terms>
    </l0439d673390432c8f4760c5a455ac93>
    <n0931430ca494154b9c352ba38783a91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 Material (brf)</TermName>
          <TermId xmlns="http://schemas.microsoft.com/office/infopath/2007/PartnerControls">eb5f7cb7-ceed-458e-a94f-e32ae120bca4</TermId>
        </TermInfo>
      </Terms>
    </n0931430ca494154b9c352ba38783a91>
    <j3dcd20625fb4e509c8810f6c12f130a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bac12ac1-3a7b-4646-b7c3-ba7b455bdaed</TermId>
        </TermInfo>
      </Terms>
    </j3dcd20625fb4e509c8810f6c12f130a>
    <PublishingExpirationDate xmlns="http://schemas.microsoft.com/sharepoint/v3" xsi:nil="true"/>
    <PublishingStartDate xmlns="http://schemas.microsoft.com/sharepoint/v3" xsi:nil="true"/>
    <_dlc_DocId xmlns="f2722de8-a3c4-44f7-809c-5aae864989b7">RVSECDK7SQEP-95-38159</_dlc_DocId>
    <_dlc_DocIdUrl xmlns="f2722de8-a3c4-44f7-809c-5aae864989b7">
      <Url>http://shareflow/sites/Tech/reach/_layouts/DocIdRedir.aspx?ID=RVSECDK7SQEP-95-38159</Url>
      <Description>RVSECDK7SQEP-95-38159</Description>
    </_dlc_DocIdUrl>
    <_dlc_DocIdPersistId xmlns="f2722de8-a3c4-44f7-809c-5aae864989b7">false</_dlc_DocIdPersist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2D374867E4656840BB2F8C5B77044997" ma:contentTypeVersion="48" ma:contentTypeDescription="HSA Document - base content type all document in ShareFlow must inherit from." ma:contentTypeScope="" ma:versionID="a512dff773f0bd1a78e3300c256fe32e">
  <xsd:schema xmlns:xsd="http://www.w3.org/2001/XMLSchema" xmlns:xs="http://www.w3.org/2001/XMLSchema" xmlns:p="http://schemas.microsoft.com/office/2006/metadata/properties" xmlns:ns1="http://schemas.microsoft.com/sharepoint/v3" xmlns:ns2="f2722de8-a3c4-44f7-809c-5aae864989b7" targetNamespace="http://schemas.microsoft.com/office/2006/metadata/properties" ma:root="true" ma:fieldsID="eb2d54a192cc0957d13b267a9af5f583" ns1:_="" ns2:_="">
    <xsd:import namespace="http://schemas.microsoft.com/sharepoint/v3"/>
    <xsd:import namespace="f2722de8-a3c4-44f7-809c-5aae864989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d673390432c8f4760c5a455ac93" minOccurs="0"/>
                <xsd:element ref="ns2:TaxCatchAll" minOccurs="0"/>
                <xsd:element ref="ns2:TaxCatchAllLabel" minOccurs="0"/>
                <xsd:element ref="ns2:n0931430ca494154b9c352ba38783a91" minOccurs="0"/>
                <xsd:element ref="ns2:j3dcd20625fb4e509c8810f6c12f130a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0" nillable="true" ma:displayName="Scheduling End Date" ma:internalName="PublishingExpirationDate">
      <xsd:simpleType>
        <xsd:restriction base="dms:Unknown"/>
      </xsd:simple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22de8-a3c4-44f7-809c-5aae864989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d673390432c8f4760c5a455ac93" ma:index="11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9b95482a-f11c-471e-9c32-a86f81c894e6" ma:anchorId="2baf6e6e-11de-4fe3-9efd-b73a31656966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674565b-251d-49f1-bba0-58784c551697}" ma:internalName="TaxCatchAll" ma:showField="CatchAllData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674565b-251d-49f1-bba0-58784c551697}" ma:internalName="TaxCatchAllLabel" ma:readOnly="true" ma:showField="CatchAllDataLabel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931430ca494154b9c352ba38783a91" ma:index="16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18" nillable="true" ma:taxonomy="true" ma:internalName="j3dcd20625fb4e509c8810f6c12f130a" ma:taxonomyFieldName="Year" ma:displayName="Year" ma:indexed="true" ma:default="1780;#2017|bac12ac1-3a7b-4646-b7c3-ba7b455bdaed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124C19-6697-462C-BB52-F75DE955F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48A48-1F79-494E-8CAF-3D9A27C464CC}">
  <ds:schemaRefs>
    <ds:schemaRef ds:uri="http://schemas.microsoft.com/office/2006/metadata/properties"/>
    <ds:schemaRef ds:uri="http://schemas.microsoft.com/office/infopath/2007/PartnerControls"/>
    <ds:schemaRef ds:uri="f2722de8-a3c4-44f7-809c-5aae864989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047216-DBB8-45D7-8B74-703BFA32AEA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1AD22D3-EDD9-4463-906D-EA9CA63C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722de8-a3c4-44f7-809c-5aae8649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16619A-016C-4D48-BCDB-E925810E16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 background document public consult.docx</vt:lpstr>
    </vt:vector>
  </TitlesOfParts>
  <Company>HSA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 background document public consult.docx</dc:title>
  <dc:creator>Kevin Buckley</dc:creator>
  <cp:lastModifiedBy>Caroline Walsh</cp:lastModifiedBy>
  <cp:revision>2</cp:revision>
  <dcterms:created xsi:type="dcterms:W3CDTF">2018-01-11T16:09:00Z</dcterms:created>
  <dcterms:modified xsi:type="dcterms:W3CDTF">2018-01-11T16:09:00Z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0x010100F1BA95422BE1A64DA19DE90A58AEB602002D374867E4656840BB2F8C5B77044997</vt:lpwstr>
  </property>
  <property fmtid="{D5CDD505-2E9C-101B-9397-08002B2CF9AE}" pid="3" name="Year">
    <vt:lpwstr>1780</vt:lpwstr>
  </property>
  <property fmtid="{D5CDD505-2E9C-101B-9397-08002B2CF9AE}" pid="4" name="Classification_x0020_Scheme">
    <vt:lpwstr>2337;#Restriction Related Tasks|87edc601-eff8-411b-bd27-c2b08b43595f</vt:lpwstr>
  </property>
  <property fmtid="{D5CDD505-2E9C-101B-9397-08002B2CF9AE}" pid="5" name="Record_x0020_Type">
    <vt:lpwstr>56;#Paper (ppr)|3b3b72c5-b0b4-4de9-9540-fca17b0c7e96</vt:lpwstr>
  </property>
  <property fmtid="{D5CDD505-2E9C-101B-9397-08002B2CF9AE}" pid="6" name="Classification Scheme">
    <vt:lpwstr>1121</vt:lpwstr>
  </property>
  <property fmtid="{D5CDD505-2E9C-101B-9397-08002B2CF9AE}" pid="7" name="Record Type">
    <vt:lpwstr>60</vt:lpwstr>
  </property>
  <property fmtid="{D5CDD505-2E9C-101B-9397-08002B2CF9AE}" pid="8" name="_dlc_DocIdItemGuid">
    <vt:lpwstr>5bdda292-3ffb-4c62-923c-e90a378ce23e</vt:lpwstr>
  </property>
  <property fmtid="{D5CDD505-2E9C-101B-9397-08002B2CF9AE}" pid="9" name="Order">
    <vt:r8>3462100</vt:r8>
  </property>
  <property fmtid="{D5CDD505-2E9C-101B-9397-08002B2CF9AE}" pid="10" name="Title">
    <vt:lpwstr>NMP background document public consult.docx</vt:lpwstr>
  </property>
  <property fmtid="{D5CDD505-2E9C-101B-9397-08002B2CF9AE}" pid="11" name="TaxCatchAll">
    <vt:lpwstr/>
  </property>
  <property fmtid="{D5CDD505-2E9C-101B-9397-08002B2CF9AE}" pid="12" name="l0439d673390432c8f4760c5a455ac93">
    <vt:lpwstr>Textiles|74bd67fd-4ee6-41f9-9d2e-5dd33fc88759</vt:lpwstr>
  </property>
  <property fmtid="{D5CDD505-2E9C-101B-9397-08002B2CF9AE}" pid="13" name="Date1">
    <vt:filetime>2015-11-20T00:00:00Z</vt:filetime>
  </property>
  <property fmtid="{D5CDD505-2E9C-101B-9397-08002B2CF9AE}" pid="14" name="_Author">
    <vt:lpwstr>Kevin Buckley</vt:lpwstr>
  </property>
  <property fmtid="{D5CDD505-2E9C-101B-9397-08002B2CF9AE}" pid="15" name="n0931430ca494154b9c352ba38783a91">
    <vt:lpwstr>Paper (ppr)|3b3b72c5-b0b4-4de9-9540-fca17b0c7e96</vt:lpwstr>
  </property>
  <property fmtid="{D5CDD505-2E9C-101B-9397-08002B2CF9AE}" pid="16" name="j3dcd20625fb4e509c8810f6c12f130a">
    <vt:lpwstr>2015|6b776dc0-73c8-49cc-a8c8-19ee3050bac2</vt:lpwstr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mvSensitivity">
    <vt:lpwstr/>
  </property>
  <property fmtid="{D5CDD505-2E9C-101B-9397-08002B2CF9AE}" pid="20" name="URL">
    <vt:lpwstr/>
  </property>
  <property fmtid="{D5CDD505-2E9C-101B-9397-08002B2CF9AE}" pid="21" name="Employee Name">
    <vt:lpwstr/>
  </property>
  <property fmtid="{D5CDD505-2E9C-101B-9397-08002B2CF9AE}" pid="22" name="Nature">
    <vt:lpwstr/>
  </property>
  <property fmtid="{D5CDD505-2E9C-101B-9397-08002B2CF9AE}" pid="23" name="Requested By">
    <vt:lpwstr/>
  </property>
  <property fmtid="{D5CDD505-2E9C-101B-9397-08002B2CF9AE}" pid="24" name="xd_Signature">
    <vt:bool>false</vt:bool>
  </property>
  <property fmtid="{D5CDD505-2E9C-101B-9397-08002B2CF9AE}" pid="25" name="mvFrom">
    <vt:lpwstr/>
  </property>
  <property fmtid="{D5CDD505-2E9C-101B-9397-08002B2CF9AE}" pid="26" name="xd_ProgID">
    <vt:lpwstr/>
  </property>
  <property fmtid="{D5CDD505-2E9C-101B-9397-08002B2CF9AE}" pid="27" name="Location">
    <vt:lpwstr/>
  </property>
  <property fmtid="{D5CDD505-2E9C-101B-9397-08002B2CF9AE}" pid="28" name="mvBCC">
    <vt:lpwstr/>
  </property>
  <property fmtid="{D5CDD505-2E9C-101B-9397-08002B2CF9AE}" pid="29" name="Company">
    <vt:lpwstr/>
  </property>
  <property fmtid="{D5CDD505-2E9C-101B-9397-08002B2CF9AE}" pid="30" name="mvAttach Count">
    <vt:lpwstr/>
  </property>
  <property fmtid="{D5CDD505-2E9C-101B-9397-08002B2CF9AE}" pid="31" name="mvCC">
    <vt:lpwstr/>
  </property>
  <property fmtid="{D5CDD505-2E9C-101B-9397-08002B2CF9AE}" pid="32" name="mvImportance">
    <vt:lpwstr/>
  </property>
  <property fmtid="{D5CDD505-2E9C-101B-9397-08002B2CF9AE}" pid="33" name="TemplateUrl">
    <vt:lpwstr/>
  </property>
  <property fmtid="{D5CDD505-2E9C-101B-9397-08002B2CF9AE}" pid="34" name="mvTo">
    <vt:lpwstr/>
  </property>
  <property fmtid="{D5CDD505-2E9C-101B-9397-08002B2CF9AE}" pid="35" name="mvConversationTopic">
    <vt:lpwstr/>
  </property>
  <property fmtid="{D5CDD505-2E9C-101B-9397-08002B2CF9AE}" pid="36" name="mvMessageID">
    <vt:lpwstr/>
  </property>
  <property fmtid="{D5CDD505-2E9C-101B-9397-08002B2CF9AE}" pid="37" name="mvOriginal Author">
    <vt:lpwstr/>
  </property>
  <property fmtid="{D5CDD505-2E9C-101B-9397-08002B2CF9AE}" pid="38" name="mvOriginal Producer">
    <vt:lpwstr/>
  </property>
</Properties>
</file>