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2"/>
        <w:ind w:left="11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.7337pt;margin-top:563.733887pt;width:15.25pt;height:13.3pt;mso-position-horizontal-relative:page;mso-position-vertical-relative:page;z-index:15728640" type="#_x0000_t202" id="docshape1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85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544.624512pt;width:50.9pt;height:50.7pt;mso-position-horizontal-relative:page;mso-position-vertical-relative:page;z-index:15729152" id="docshape2" coordorigin="0,10892" coordsize="1018,1014" path="m0,10892l0,11906,1018,11906,1009,11817,996,11743,978,11671,955,11601,928,11533,896,11467,860,11404,820,11344,776,11287,729,11232,678,11181,624,11134,566,11090,506,11050,443,11014,378,10982,310,10955,240,10932,167,10914,94,10901,18,10893,0,10892xe" filled="true" fillcolor="#6cb33f" stroked="false">
            <v:path arrowok="t"/>
            <v:fill type="solid"/>
            <w10:wrap type="none"/>
          </v:shape>
        </w:pict>
      </w:r>
      <w:r>
        <w:rPr>
          <w:color w:val="6CB33F"/>
          <w:w w:val="90"/>
        </w:rPr>
        <w:t>Cleaning</w:t>
      </w:r>
      <w:r>
        <w:rPr>
          <w:color w:val="6CB33F"/>
          <w:spacing w:val="-2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-1"/>
        </w:rPr>
        <w:t> </w:t>
      </w:r>
      <w:r>
        <w:rPr>
          <w:color w:val="6CB33F"/>
          <w:w w:val="90"/>
        </w:rPr>
        <w:t>No.43</w:t>
      </w:r>
      <w:r>
        <w:rPr>
          <w:color w:val="6CB33F"/>
          <w:spacing w:val="-7"/>
          <w:w w:val="90"/>
        </w:rPr>
        <w:t> </w:t>
      </w:r>
      <w:r>
        <w:rPr>
          <w:color w:val="6CB33F"/>
          <w:w w:val="90"/>
        </w:rPr>
        <w:t>Toilets</w:t>
      </w:r>
      <w:r>
        <w:rPr>
          <w:color w:val="6CB33F"/>
          <w:spacing w:val="-1"/>
        </w:rPr>
        <w:t> </w:t>
      </w:r>
      <w:r>
        <w:rPr>
          <w:color w:val="6CB33F"/>
          <w:w w:val="90"/>
        </w:rPr>
        <w:t>and</w:t>
      </w:r>
      <w:r>
        <w:rPr>
          <w:color w:val="6CB33F"/>
          <w:spacing w:val="-2"/>
        </w:rPr>
        <w:t> </w:t>
      </w:r>
      <w:r>
        <w:rPr>
          <w:color w:val="6CB33F"/>
          <w:w w:val="90"/>
        </w:rPr>
        <w:t>Showers</w:t>
      </w:r>
      <w:r>
        <w:rPr>
          <w:color w:val="6CB33F"/>
          <w:spacing w:val="-1"/>
        </w:rPr>
        <w:t> </w:t>
      </w:r>
      <w:r>
        <w:rPr>
          <w:w w:val="90"/>
        </w:rPr>
        <w:t>(List</w:t>
      </w:r>
      <w:r>
        <w:rPr>
          <w:spacing w:val="-1"/>
        </w:rPr>
        <w:t> </w:t>
      </w:r>
      <w:r>
        <w:rPr>
          <w:w w:val="90"/>
        </w:rPr>
        <w:t>additional</w:t>
      </w:r>
      <w:r>
        <w:rPr>
          <w:spacing w:val="-1"/>
        </w:rPr>
        <w:t> </w:t>
      </w:r>
      <w:r>
        <w:rPr>
          <w:w w:val="90"/>
        </w:rPr>
        <w:t>hazards,</w:t>
      </w:r>
      <w:r>
        <w:rPr>
          <w:spacing w:val="-1"/>
        </w:rPr>
        <w:t> </w:t>
      </w:r>
      <w:r>
        <w:rPr>
          <w:w w:val="90"/>
        </w:rPr>
        <w:t>risks</w:t>
      </w:r>
      <w:r>
        <w:rPr>
          <w:spacing w:val="-1"/>
        </w:rPr>
        <w:t> </w:t>
      </w:r>
      <w:r>
        <w:rPr>
          <w:w w:val="90"/>
        </w:rPr>
        <w:t>and</w:t>
      </w:r>
      <w:r>
        <w:rPr>
          <w:spacing w:val="-1"/>
        </w:rPr>
        <w:t> </w:t>
      </w:r>
      <w:r>
        <w:rPr>
          <w:w w:val="90"/>
        </w:rPr>
        <w:t>controls</w:t>
      </w:r>
      <w:r>
        <w:rPr>
          <w:spacing w:val="-1"/>
        </w:rPr>
        <w:t> </w:t>
      </w:r>
      <w:r>
        <w:rPr>
          <w:w w:val="90"/>
        </w:rPr>
        <w:t>particular</w:t>
      </w:r>
      <w:r>
        <w:rPr>
          <w:spacing w:val="-1"/>
        </w:rPr>
        <w:t> </w:t>
      </w:r>
      <w:r>
        <w:rPr>
          <w:w w:val="90"/>
        </w:rPr>
        <w:t>to</w:t>
      </w:r>
      <w:r>
        <w:rPr>
          <w:spacing w:val="-1"/>
        </w:rPr>
        <w:t> </w:t>
      </w:r>
      <w:r>
        <w:rPr>
          <w:w w:val="90"/>
        </w:rPr>
        <w:t>your</w:t>
      </w:r>
      <w:r>
        <w:rPr>
          <w:spacing w:val="-1"/>
        </w:rPr>
        <w:t> </w:t>
      </w:r>
      <w:r>
        <w:rPr>
          <w:w w:val="90"/>
        </w:rPr>
        <w:t>school</w:t>
      </w:r>
      <w:r>
        <w:rPr>
          <w:spacing w:val="-2"/>
        </w:rPr>
        <w:t> </w:t>
      </w:r>
      <w:r>
        <w:rPr>
          <w:w w:val="90"/>
        </w:rPr>
        <w:t>using</w:t>
      </w:r>
      <w:r>
        <w:rPr>
          <w:spacing w:val="-1"/>
        </w:rPr>
        <w:t> </w:t>
      </w:r>
      <w:r>
        <w:rPr>
          <w:w w:val="90"/>
        </w:rPr>
        <w:t>the</w:t>
      </w:r>
      <w:r>
        <w:rPr>
          <w:spacing w:val="-1"/>
        </w:rPr>
        <w:t> </w:t>
      </w:r>
      <w:r>
        <w:rPr>
          <w:w w:val="90"/>
        </w:rPr>
        <w:t>blank</w:t>
      </w:r>
      <w:r>
        <w:rPr>
          <w:spacing w:val="-1"/>
        </w:rPr>
        <w:t> </w:t>
      </w:r>
      <w:r>
        <w:rPr>
          <w:w w:val="90"/>
        </w:rPr>
        <w:t>template</w:t>
      </w:r>
      <w:r>
        <w:rPr>
          <w:spacing w:val="-1"/>
        </w:rPr>
        <w:t> </w:t>
      </w:r>
      <w:r>
        <w:rPr>
          <w:spacing w:val="-2"/>
          <w:w w:val="90"/>
        </w:rPr>
        <w:t>no.55)</w:t>
      </w:r>
    </w:p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873"/>
        <w:gridCol w:w="1106"/>
        <w:gridCol w:w="894"/>
        <w:gridCol w:w="2530"/>
        <w:gridCol w:w="738"/>
        <w:gridCol w:w="4984"/>
        <w:gridCol w:w="1407"/>
        <w:gridCol w:w="1479"/>
      </w:tblGrid>
      <w:tr>
        <w:trPr>
          <w:trHeight w:val="1304" w:hRule="atLeast"/>
        </w:trPr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168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</w:t>
            </w:r>
          </w:p>
          <w:p>
            <w:pPr>
              <w:pStyle w:val="TableParagraph"/>
              <w:spacing w:before="188"/>
              <w:ind w:left="62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Y/N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350"/>
              <w:rPr>
                <w:sz w:val="20"/>
              </w:rPr>
            </w:pPr>
            <w:r>
              <w:rPr>
                <w:color w:val="FFFFFF"/>
                <w:sz w:val="20"/>
              </w:rPr>
              <w:t>What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is </w:t>
            </w:r>
            <w:r>
              <w:rPr>
                <w:color w:val="FFFFFF"/>
                <w:w w:val="90"/>
                <w:sz w:val="20"/>
              </w:rPr>
              <w:t>the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spacing w:val="-7"/>
                <w:sz w:val="20"/>
              </w:rPr>
              <w:t>risk?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56" w:lineRule="auto" w:before="43"/>
              <w:ind w:left="35" w:right="149"/>
              <w:rPr>
                <w:sz w:val="16"/>
              </w:rPr>
            </w:pPr>
            <w:r>
              <w:rPr>
                <w:color w:val="FFFFFF"/>
                <w:spacing w:val="-14"/>
                <w:sz w:val="18"/>
              </w:rPr>
              <w:t>Risk</w:t>
            </w:r>
            <w:r>
              <w:rPr>
                <w:color w:val="FFFFFF"/>
                <w:spacing w:val="-35"/>
                <w:sz w:val="18"/>
              </w:rPr>
              <w:t> </w:t>
            </w:r>
            <w:r>
              <w:rPr>
                <w:color w:val="FFFFFF"/>
                <w:spacing w:val="-14"/>
                <w:sz w:val="18"/>
              </w:rPr>
              <w:t>rating </w:t>
            </w: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High </w:t>
            </w:r>
            <w:r>
              <w:rPr>
                <w:color w:val="FFFFFF"/>
                <w:spacing w:val="-8"/>
                <w:sz w:val="16"/>
              </w:rPr>
              <w:t>M=Medium </w:t>
            </w:r>
            <w:r>
              <w:rPr>
                <w:color w:val="FFFFFF"/>
                <w:sz w:val="16"/>
              </w:rPr>
              <w:t>L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Low</w:t>
            </w:r>
          </w:p>
        </w:tc>
        <w:tc>
          <w:tcPr>
            <w:tcW w:w="253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4" w:right="549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place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risk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be </w:t>
            </w:r>
            <w:r>
              <w:rPr>
                <w:color w:val="FFFFFF"/>
                <w:spacing w:val="-2"/>
                <w:sz w:val="20"/>
              </w:rPr>
              <w:t>reduced)</w:t>
            </w:r>
          </w:p>
        </w:tc>
        <w:tc>
          <w:tcPr>
            <w:tcW w:w="73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4" w:right="144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498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6"/>
              <w:rPr>
                <w:sz w:val="18"/>
              </w:rPr>
            </w:pPr>
            <w:r>
              <w:rPr>
                <w:color w:val="FFFFFF"/>
                <w:spacing w:val="-2"/>
                <w:w w:val="90"/>
                <w:sz w:val="18"/>
              </w:rPr>
              <w:t>Action/to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do</w:t>
            </w:r>
            <w:r>
              <w:rPr>
                <w:color w:val="FFFFFF"/>
                <w:spacing w:val="-13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list/outstanding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6" w:right="236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outlined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in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this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40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6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7" w:right="426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2212" w:hRule="atLeast"/>
        </w:trPr>
        <w:tc>
          <w:tcPr>
            <w:tcW w:w="1110" w:type="dxa"/>
          </w:tcPr>
          <w:p>
            <w:pPr>
              <w:pStyle w:val="TableParagraph"/>
              <w:spacing w:line="206" w:lineRule="auto" w:before="46"/>
              <w:ind w:left="56" w:right="509"/>
              <w:jc w:val="both"/>
              <w:rPr>
                <w:sz w:val="20"/>
              </w:rPr>
            </w:pPr>
            <w:r>
              <w:rPr>
                <w:spacing w:val="-16"/>
                <w:sz w:val="20"/>
              </w:rPr>
              <w:t>Loose/ broken fittings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spacing w:before="19"/>
              <w:ind w:left="57"/>
              <w:rPr>
                <w:sz w:val="20"/>
              </w:rPr>
            </w:pPr>
            <w:r>
              <w:rPr>
                <w:spacing w:val="-4"/>
                <w:sz w:val="20"/>
              </w:rPr>
              <w:t>Cuts</w:t>
            </w:r>
          </w:p>
        </w:tc>
        <w:tc>
          <w:tcPr>
            <w:tcW w:w="894" w:type="dxa"/>
          </w:tcPr>
          <w:p>
            <w:pPr>
              <w:pStyle w:val="TableParagraph"/>
              <w:spacing w:before="19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530" w:type="dxa"/>
          </w:tcPr>
          <w:p>
            <w:pPr>
              <w:pStyle w:val="TableParagraph"/>
              <w:spacing w:line="206" w:lineRule="auto" w:before="46"/>
              <w:ind w:left="59" w:right="176"/>
              <w:rPr>
                <w:sz w:val="20"/>
              </w:rPr>
            </w:pPr>
            <w:r>
              <w:rPr>
                <w:spacing w:val="-6"/>
                <w:sz w:val="20"/>
              </w:rPr>
              <w:t>Condition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toilets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and </w:t>
            </w:r>
            <w:r>
              <w:rPr>
                <w:spacing w:val="-2"/>
                <w:sz w:val="20"/>
              </w:rPr>
              <w:t>hand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basins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checked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by </w:t>
            </w:r>
            <w:r>
              <w:rPr>
                <w:spacing w:val="-8"/>
                <w:sz w:val="20"/>
              </w:rPr>
              <w:t>cleaner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daily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(including </w:t>
            </w:r>
            <w:r>
              <w:rPr>
                <w:spacing w:val="-8"/>
                <w:w w:val="90"/>
                <w:sz w:val="20"/>
              </w:rPr>
              <w:t>stability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of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bowl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and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cistern, </w:t>
            </w:r>
            <w:r>
              <w:rPr>
                <w:sz w:val="20"/>
              </w:rPr>
              <w:t>hand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basins)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12" w:hRule="atLeast"/>
        </w:trPr>
        <w:tc>
          <w:tcPr>
            <w:tcW w:w="1110" w:type="dxa"/>
          </w:tcPr>
          <w:p>
            <w:pPr>
              <w:pStyle w:val="TableParagraph"/>
              <w:spacing w:line="206" w:lineRule="auto" w:before="45"/>
              <w:ind w:left="56" w:right="371"/>
              <w:rPr>
                <w:sz w:val="20"/>
              </w:rPr>
            </w:pPr>
            <w:r>
              <w:rPr>
                <w:spacing w:val="-10"/>
                <w:sz w:val="20"/>
              </w:rPr>
              <w:t>Cracked </w:t>
            </w:r>
            <w:r>
              <w:rPr>
                <w:spacing w:val="-9"/>
                <w:w w:val="90"/>
                <w:sz w:val="20"/>
              </w:rPr>
              <w:t>floor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17"/>
                <w:w w:val="95"/>
                <w:sz w:val="20"/>
              </w:rPr>
              <w:t>tiles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spacing w:line="206" w:lineRule="auto" w:before="45"/>
              <w:ind w:left="57" w:right="254"/>
              <w:rPr>
                <w:sz w:val="20"/>
              </w:rPr>
            </w:pPr>
            <w:r>
              <w:rPr>
                <w:spacing w:val="-12"/>
                <w:w w:val="90"/>
                <w:sz w:val="20"/>
              </w:rPr>
              <w:t>Slips,</w:t>
            </w:r>
            <w:r>
              <w:rPr>
                <w:spacing w:val="-41"/>
                <w:w w:val="90"/>
                <w:sz w:val="20"/>
              </w:rPr>
              <w:t> </w:t>
            </w:r>
            <w:r>
              <w:rPr>
                <w:spacing w:val="-12"/>
                <w:w w:val="90"/>
                <w:sz w:val="20"/>
              </w:rPr>
              <w:t>Trips, </w:t>
            </w:r>
            <w:r>
              <w:rPr>
                <w:spacing w:val="-2"/>
                <w:sz w:val="20"/>
              </w:rPr>
              <w:t>Falls</w:t>
            </w:r>
          </w:p>
        </w:tc>
        <w:tc>
          <w:tcPr>
            <w:tcW w:w="894" w:type="dxa"/>
          </w:tcPr>
          <w:p>
            <w:pPr>
              <w:pStyle w:val="TableParagraph"/>
              <w:spacing w:before="19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530" w:type="dxa"/>
          </w:tcPr>
          <w:p>
            <w:pPr>
              <w:pStyle w:val="TableParagraph"/>
              <w:spacing w:line="206" w:lineRule="auto" w:before="45"/>
              <w:ind w:left="59" w:right="176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Cracked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floor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tiles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are </w:t>
            </w:r>
            <w:r>
              <w:rPr>
                <w:sz w:val="20"/>
              </w:rPr>
              <w:t>repaired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ASAP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12" w:hRule="atLeast"/>
        </w:trPr>
        <w:tc>
          <w:tcPr>
            <w:tcW w:w="1110" w:type="dxa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Legionella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spacing w:line="206" w:lineRule="auto" w:before="45"/>
              <w:ind w:left="57" w:right="184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Respiratory </w:t>
            </w:r>
            <w:r>
              <w:rPr>
                <w:sz w:val="20"/>
              </w:rPr>
              <w:t>disease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4"/>
                <w:sz w:val="20"/>
              </w:rPr>
              <w:t>legionella</w:t>
            </w:r>
          </w:p>
        </w:tc>
        <w:tc>
          <w:tcPr>
            <w:tcW w:w="894" w:type="dxa"/>
          </w:tcPr>
          <w:p>
            <w:pPr>
              <w:pStyle w:val="TableParagraph"/>
              <w:spacing w:before="19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530" w:type="dxa"/>
          </w:tcPr>
          <w:p>
            <w:pPr>
              <w:pStyle w:val="TableParagraph"/>
              <w:spacing w:line="206" w:lineRule="auto" w:before="45"/>
              <w:ind w:left="59" w:right="176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See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’General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School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Risk </w:t>
            </w:r>
            <w:r>
              <w:rPr>
                <w:spacing w:val="-2"/>
                <w:sz w:val="20"/>
              </w:rPr>
              <w:t>Assessments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No.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33 Legionella’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52" w:hRule="atLeast"/>
        </w:trPr>
        <w:tc>
          <w:tcPr>
            <w:tcW w:w="1110" w:type="dxa"/>
          </w:tcPr>
          <w:p>
            <w:pPr>
              <w:pStyle w:val="TableParagraph"/>
              <w:spacing w:line="206" w:lineRule="auto" w:before="45"/>
              <w:ind w:left="56" w:right="485"/>
              <w:rPr>
                <w:sz w:val="20"/>
              </w:rPr>
            </w:pPr>
            <w:r>
              <w:rPr>
                <w:spacing w:val="-2"/>
                <w:sz w:val="20"/>
              </w:rPr>
              <w:t>Mould </w:t>
            </w:r>
            <w:r>
              <w:rPr>
                <w:spacing w:val="-14"/>
                <w:sz w:val="20"/>
              </w:rPr>
              <w:t>growth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spacing w:line="206" w:lineRule="auto" w:before="45"/>
              <w:ind w:left="57" w:right="184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Respiratory </w:t>
            </w:r>
            <w:r>
              <w:rPr>
                <w:sz w:val="20"/>
              </w:rPr>
              <w:t>disease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2"/>
                <w:sz w:val="20"/>
              </w:rPr>
              <w:t>Mould toxins</w:t>
            </w:r>
          </w:p>
        </w:tc>
        <w:tc>
          <w:tcPr>
            <w:tcW w:w="894" w:type="dxa"/>
          </w:tcPr>
          <w:p>
            <w:pPr>
              <w:pStyle w:val="TableParagraph"/>
              <w:spacing w:before="19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530" w:type="dxa"/>
          </w:tcPr>
          <w:p>
            <w:pPr>
              <w:pStyle w:val="TableParagraph"/>
              <w:spacing w:line="206" w:lineRule="auto" w:before="45"/>
              <w:ind w:left="59" w:right="176"/>
              <w:rPr>
                <w:sz w:val="20"/>
              </w:rPr>
            </w:pPr>
            <w:r>
              <w:rPr>
                <w:spacing w:val="-8"/>
                <w:sz w:val="20"/>
              </w:rPr>
              <w:t>See‘General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School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Risk </w:t>
            </w:r>
            <w:r>
              <w:rPr>
                <w:spacing w:val="-14"/>
                <w:sz w:val="20"/>
              </w:rPr>
              <w:t>Assessments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-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No.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31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Mould’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97"/>
        <w:ind w:left="0" w:right="264" w:firstLine="0"/>
        <w:jc w:val="righ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right"/>
        <w:rPr>
          <w:sz w:val="14"/>
        </w:rPr>
        <w:sectPr>
          <w:type w:val="continuous"/>
          <w:pgSz w:w="16840" w:h="11910" w:orient="landscape"/>
          <w:pgMar w:top="640" w:bottom="0" w:left="740" w:right="740"/>
        </w:sectPr>
      </w:pPr>
    </w:p>
    <w:p>
      <w:pPr>
        <w:pStyle w:val="BodyText"/>
      </w:pPr>
      <w:r>
        <w:rPr/>
        <w:pict>
          <v:shape style="position:absolute;margin-left:17.9503pt;margin-top:21.3402pt;width:15.25pt;height:13.3pt;mso-position-horizontal-relative:page;mso-position-vertical-relative:page;z-index:15729664" type="#_x0000_t202" id="docshape3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86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05pt;height:53.95pt;mso-position-horizontal-relative:page;mso-position-vertical-relative:page;z-index:15730176" id="docshape4" coordorigin="0,0" coordsize="1021,1079" path="m1021,0l0,0,0,1079,94,1070,168,1057,240,1039,310,1016,378,989,444,957,507,921,567,881,624,837,679,790,730,739,777,685,821,627,861,567,897,504,928,439,956,371,979,301,997,229,1010,155,1018,79,1021,2,1021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7"/>
        </w:rPr>
      </w:pPr>
    </w:p>
    <w:p>
      <w:pPr>
        <w:pStyle w:val="BodyText"/>
        <w:spacing w:before="103" w:after="58"/>
        <w:ind w:left="110"/>
      </w:pPr>
      <w:r>
        <w:rPr>
          <w:color w:val="6CB33F"/>
          <w:w w:val="90"/>
        </w:rPr>
        <w:t>Cleaning</w:t>
      </w:r>
      <w:r>
        <w:rPr>
          <w:color w:val="6CB33F"/>
          <w:spacing w:val="-4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-4"/>
        </w:rPr>
        <w:t> </w:t>
      </w:r>
      <w:r>
        <w:rPr>
          <w:color w:val="6CB33F"/>
          <w:w w:val="90"/>
        </w:rPr>
        <w:t>No.43</w:t>
      </w:r>
      <w:r>
        <w:rPr>
          <w:color w:val="6CB33F"/>
          <w:spacing w:val="-9"/>
          <w:w w:val="90"/>
        </w:rPr>
        <w:t> </w:t>
      </w:r>
      <w:r>
        <w:rPr>
          <w:color w:val="6CB33F"/>
          <w:w w:val="90"/>
        </w:rPr>
        <w:t>Toilets</w:t>
      </w:r>
      <w:r>
        <w:rPr>
          <w:color w:val="6CB33F"/>
          <w:spacing w:val="-4"/>
        </w:rPr>
        <w:t> </w:t>
      </w:r>
      <w:r>
        <w:rPr>
          <w:color w:val="6CB33F"/>
          <w:w w:val="90"/>
        </w:rPr>
        <w:t>and</w:t>
      </w:r>
      <w:r>
        <w:rPr>
          <w:color w:val="6CB33F"/>
          <w:spacing w:val="-4"/>
        </w:rPr>
        <w:t> </w:t>
      </w:r>
      <w:r>
        <w:rPr>
          <w:color w:val="6CB33F"/>
          <w:w w:val="90"/>
        </w:rPr>
        <w:t>Showers</w:t>
      </w:r>
      <w:r>
        <w:rPr>
          <w:color w:val="6CB33F"/>
          <w:spacing w:val="-3"/>
        </w:rPr>
        <w:t> </w:t>
      </w:r>
      <w:r>
        <w:rPr>
          <w:color w:val="6CB33F"/>
          <w:w w:val="90"/>
        </w:rPr>
        <w:t>cont’d.</w:t>
      </w:r>
      <w:r>
        <w:rPr>
          <w:color w:val="6CB33F"/>
          <w:spacing w:val="-4"/>
        </w:rPr>
        <w:t> </w:t>
      </w:r>
      <w:r>
        <w:rPr>
          <w:w w:val="90"/>
        </w:rPr>
        <w:t>(List</w:t>
      </w:r>
      <w:r>
        <w:rPr>
          <w:spacing w:val="-4"/>
        </w:rPr>
        <w:t> </w:t>
      </w:r>
      <w:r>
        <w:rPr>
          <w:w w:val="90"/>
        </w:rPr>
        <w:t>additional</w:t>
      </w:r>
      <w:r>
        <w:rPr>
          <w:spacing w:val="-3"/>
        </w:rPr>
        <w:t> </w:t>
      </w:r>
      <w:r>
        <w:rPr>
          <w:w w:val="90"/>
        </w:rPr>
        <w:t>hazards,</w:t>
      </w:r>
      <w:r>
        <w:rPr>
          <w:spacing w:val="-4"/>
        </w:rPr>
        <w:t> </w:t>
      </w:r>
      <w:r>
        <w:rPr>
          <w:w w:val="90"/>
        </w:rPr>
        <w:t>risks</w:t>
      </w:r>
      <w:r>
        <w:rPr>
          <w:spacing w:val="-4"/>
        </w:rPr>
        <w:t> </w:t>
      </w:r>
      <w:r>
        <w:rPr>
          <w:w w:val="90"/>
        </w:rPr>
        <w:t>and</w:t>
      </w:r>
      <w:r>
        <w:rPr>
          <w:spacing w:val="-3"/>
        </w:rPr>
        <w:t> </w:t>
      </w:r>
      <w:r>
        <w:rPr>
          <w:w w:val="90"/>
        </w:rPr>
        <w:t>controls</w:t>
      </w:r>
      <w:r>
        <w:rPr>
          <w:spacing w:val="-4"/>
        </w:rPr>
        <w:t> </w:t>
      </w:r>
      <w:r>
        <w:rPr>
          <w:w w:val="90"/>
        </w:rPr>
        <w:t>particular</w:t>
      </w:r>
      <w:r>
        <w:rPr>
          <w:spacing w:val="-4"/>
        </w:rPr>
        <w:t> </w:t>
      </w:r>
      <w:r>
        <w:rPr>
          <w:w w:val="90"/>
        </w:rPr>
        <w:t>to</w:t>
      </w:r>
      <w:r>
        <w:rPr>
          <w:spacing w:val="-3"/>
        </w:rPr>
        <w:t> </w:t>
      </w:r>
      <w:r>
        <w:rPr>
          <w:w w:val="90"/>
        </w:rPr>
        <w:t>your</w:t>
      </w:r>
      <w:r>
        <w:rPr>
          <w:spacing w:val="-4"/>
        </w:rPr>
        <w:t> </w:t>
      </w:r>
      <w:r>
        <w:rPr>
          <w:w w:val="90"/>
        </w:rPr>
        <w:t>school</w:t>
      </w:r>
      <w:r>
        <w:rPr>
          <w:spacing w:val="-4"/>
        </w:rPr>
        <w:t> </w:t>
      </w:r>
      <w:r>
        <w:rPr>
          <w:w w:val="90"/>
        </w:rPr>
        <w:t>using</w:t>
      </w:r>
      <w:r>
        <w:rPr>
          <w:spacing w:val="-3"/>
        </w:rPr>
        <w:t> </w:t>
      </w:r>
      <w:r>
        <w:rPr>
          <w:w w:val="90"/>
        </w:rPr>
        <w:t>the</w:t>
      </w:r>
      <w:r>
        <w:rPr>
          <w:spacing w:val="-4"/>
        </w:rPr>
        <w:t> </w:t>
      </w:r>
      <w:r>
        <w:rPr>
          <w:w w:val="90"/>
        </w:rPr>
        <w:t>blank</w:t>
      </w:r>
      <w:r>
        <w:rPr>
          <w:spacing w:val="-4"/>
        </w:rPr>
        <w:t> </w:t>
      </w:r>
      <w:r>
        <w:rPr>
          <w:w w:val="90"/>
        </w:rPr>
        <w:t>template</w:t>
      </w:r>
      <w:r>
        <w:rPr>
          <w:spacing w:val="-3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2"/>
        <w:gridCol w:w="875"/>
        <w:gridCol w:w="1015"/>
        <w:gridCol w:w="1100"/>
        <w:gridCol w:w="2394"/>
        <w:gridCol w:w="720"/>
        <w:gridCol w:w="4940"/>
        <w:gridCol w:w="1465"/>
        <w:gridCol w:w="1515"/>
      </w:tblGrid>
      <w:tr>
        <w:trPr>
          <w:trHeight w:val="1141" w:hRule="atLeast"/>
        </w:trPr>
        <w:tc>
          <w:tcPr>
            <w:tcW w:w="112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71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</w:t>
            </w:r>
          </w:p>
          <w:p>
            <w:pPr>
              <w:pStyle w:val="TableParagraph"/>
              <w:spacing w:before="188"/>
              <w:ind w:left="6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Y/N</w:t>
            </w:r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 w:right="261"/>
              <w:rPr>
                <w:sz w:val="20"/>
              </w:rPr>
            </w:pPr>
            <w:r>
              <w:rPr>
                <w:color w:val="FFFFFF"/>
                <w:sz w:val="20"/>
              </w:rPr>
              <w:t>What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is </w:t>
            </w:r>
            <w:r>
              <w:rPr>
                <w:color w:val="FFFFFF"/>
                <w:w w:val="90"/>
                <w:sz w:val="20"/>
              </w:rPr>
              <w:t>the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spacing w:val="-7"/>
                <w:sz w:val="20"/>
              </w:rPr>
              <w:t>risk?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59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59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59" w:right="179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239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58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58" w:right="419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place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risk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be </w:t>
            </w:r>
            <w:r>
              <w:rPr>
                <w:color w:val="FFFFFF"/>
                <w:spacing w:val="-2"/>
                <w:sz w:val="20"/>
              </w:rPr>
              <w:t>reduced)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6" w:right="134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494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55"/>
              <w:rPr>
                <w:sz w:val="18"/>
              </w:rPr>
            </w:pPr>
            <w:r>
              <w:rPr>
                <w:color w:val="FFFFFF"/>
                <w:spacing w:val="-2"/>
                <w:w w:val="90"/>
                <w:sz w:val="18"/>
              </w:rPr>
              <w:t>Action/to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do</w:t>
            </w:r>
            <w:r>
              <w:rPr>
                <w:color w:val="FFFFFF"/>
                <w:spacing w:val="-13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list/outstanding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55" w:right="203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outlined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in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this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46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51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2" w:right="47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2572" w:hRule="atLeast"/>
        </w:trPr>
        <w:tc>
          <w:tcPr>
            <w:tcW w:w="1122" w:type="dxa"/>
          </w:tcPr>
          <w:p>
            <w:pPr>
              <w:pStyle w:val="TableParagraph"/>
              <w:spacing w:line="206" w:lineRule="auto" w:before="45"/>
              <w:ind w:left="56" w:right="95"/>
              <w:rPr>
                <w:sz w:val="20"/>
              </w:rPr>
            </w:pPr>
            <w:r>
              <w:rPr>
                <w:spacing w:val="-14"/>
                <w:sz w:val="20"/>
              </w:rPr>
              <w:t>Improperly </w:t>
            </w:r>
            <w:r>
              <w:rPr>
                <w:spacing w:val="-8"/>
                <w:w w:val="90"/>
                <w:sz w:val="20"/>
              </w:rPr>
              <w:t>maintained </w:t>
            </w:r>
            <w:r>
              <w:rPr>
                <w:sz w:val="20"/>
              </w:rPr>
              <w:t>hot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and </w:t>
            </w:r>
            <w:r>
              <w:rPr>
                <w:spacing w:val="-10"/>
                <w:sz w:val="20"/>
              </w:rPr>
              <w:t>cold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water </w:t>
            </w:r>
            <w:r>
              <w:rPr>
                <w:spacing w:val="-2"/>
                <w:sz w:val="20"/>
              </w:rPr>
              <w:t>system</w:t>
            </w:r>
          </w:p>
          <w:p>
            <w:pPr>
              <w:pStyle w:val="TableParagraph"/>
              <w:spacing w:line="206" w:lineRule="auto" w:before="202"/>
              <w:ind w:left="56" w:right="410"/>
              <w:rPr>
                <w:sz w:val="20"/>
              </w:rPr>
            </w:pPr>
            <w:r>
              <w:rPr>
                <w:spacing w:val="-14"/>
                <w:sz w:val="20"/>
              </w:rPr>
              <w:t>Scalding </w:t>
            </w:r>
            <w:r>
              <w:rPr>
                <w:spacing w:val="-2"/>
                <w:sz w:val="20"/>
              </w:rPr>
              <w:t>water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line="206" w:lineRule="auto" w:before="45"/>
              <w:ind w:left="55" w:right="454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Burns/ </w:t>
            </w:r>
            <w:r>
              <w:rPr>
                <w:spacing w:val="-11"/>
                <w:sz w:val="20"/>
              </w:rPr>
              <w:t>scalds</w:t>
            </w:r>
          </w:p>
        </w:tc>
        <w:tc>
          <w:tcPr>
            <w:tcW w:w="1100" w:type="dxa"/>
          </w:tcPr>
          <w:p>
            <w:pPr>
              <w:pStyle w:val="TableParagraph"/>
              <w:spacing w:before="24"/>
              <w:ind w:left="4"/>
              <w:jc w:val="center"/>
              <w:rPr>
                <w:rFonts w:ascii="Franklin Gothic Book"/>
                <w:sz w:val="20"/>
              </w:rPr>
            </w:pPr>
            <w:r>
              <w:rPr>
                <w:rFonts w:ascii="Franklin Gothic Book"/>
                <w:w w:val="101"/>
                <w:sz w:val="20"/>
              </w:rPr>
              <w:t>H</w:t>
            </w:r>
          </w:p>
        </w:tc>
        <w:tc>
          <w:tcPr>
            <w:tcW w:w="2394" w:type="dxa"/>
          </w:tcPr>
          <w:p>
            <w:pPr>
              <w:pStyle w:val="TableParagraph"/>
              <w:spacing w:line="206" w:lineRule="auto" w:before="45"/>
              <w:ind w:left="53" w:right="461"/>
              <w:rPr>
                <w:sz w:val="20"/>
              </w:rPr>
            </w:pPr>
            <w:r>
              <w:rPr>
                <w:spacing w:val="-8"/>
                <w:sz w:val="20"/>
              </w:rPr>
              <w:t>Water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temperature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to </w:t>
            </w:r>
            <w:r>
              <w:rPr>
                <w:spacing w:val="-14"/>
                <w:sz w:val="20"/>
              </w:rPr>
              <w:t>basins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maintained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below </w:t>
            </w:r>
            <w:r>
              <w:rPr>
                <w:spacing w:val="-6"/>
                <w:w w:val="90"/>
                <w:sz w:val="20"/>
              </w:rPr>
              <w:t>scalding.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Cleaner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reports </w:t>
            </w:r>
            <w:r>
              <w:rPr>
                <w:spacing w:val="-14"/>
                <w:sz w:val="20"/>
              </w:rPr>
              <w:t>scalding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water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problems </w:t>
            </w:r>
            <w:r>
              <w:rPr>
                <w:spacing w:val="-8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caretaker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action </w:t>
            </w:r>
            <w:r>
              <w:rPr>
                <w:spacing w:val="-6"/>
                <w:sz w:val="20"/>
              </w:rPr>
              <w:t>taken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immediately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18" w:hRule="atLeast"/>
        </w:trPr>
        <w:tc>
          <w:tcPr>
            <w:tcW w:w="1122" w:type="dxa"/>
          </w:tcPr>
          <w:p>
            <w:pPr>
              <w:pStyle w:val="TableParagraph"/>
              <w:spacing w:line="206" w:lineRule="auto" w:before="45"/>
              <w:ind w:left="56" w:right="95"/>
              <w:rPr>
                <w:sz w:val="20"/>
              </w:rPr>
            </w:pPr>
            <w:r>
              <w:rPr>
                <w:spacing w:val="-16"/>
                <w:sz w:val="20"/>
              </w:rPr>
              <w:t>Inadequate </w:t>
            </w:r>
            <w:r>
              <w:rPr>
                <w:spacing w:val="-12"/>
                <w:sz w:val="20"/>
              </w:rPr>
              <w:t>ventilation</w:t>
            </w: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line="206" w:lineRule="auto" w:before="45"/>
              <w:ind w:left="55" w:right="197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Inhalation </w:t>
            </w:r>
            <w:r>
              <w:rPr>
                <w:spacing w:val="-6"/>
                <w:sz w:val="20"/>
              </w:rPr>
              <w:t>of </w:t>
            </w:r>
            <w:r>
              <w:rPr>
                <w:spacing w:val="-2"/>
                <w:sz w:val="20"/>
              </w:rPr>
              <w:t>cleaning </w:t>
            </w:r>
            <w:r>
              <w:rPr>
                <w:spacing w:val="-6"/>
                <w:sz w:val="20"/>
              </w:rPr>
              <w:t>products</w:t>
            </w:r>
          </w:p>
        </w:tc>
        <w:tc>
          <w:tcPr>
            <w:tcW w:w="1100" w:type="dxa"/>
          </w:tcPr>
          <w:p>
            <w:pPr>
              <w:pStyle w:val="TableParagraph"/>
              <w:spacing w:before="24"/>
              <w:ind w:left="4"/>
              <w:jc w:val="center"/>
              <w:rPr>
                <w:rFonts w:ascii="Franklin Gothic Book"/>
                <w:sz w:val="20"/>
              </w:rPr>
            </w:pPr>
            <w:r>
              <w:rPr>
                <w:rFonts w:ascii="Franklin Gothic Book"/>
                <w:w w:val="99"/>
                <w:sz w:val="20"/>
              </w:rPr>
              <w:t>M</w:t>
            </w:r>
          </w:p>
        </w:tc>
        <w:tc>
          <w:tcPr>
            <w:tcW w:w="2394" w:type="dxa"/>
          </w:tcPr>
          <w:p>
            <w:pPr>
              <w:pStyle w:val="TableParagraph"/>
              <w:spacing w:line="206" w:lineRule="auto" w:before="45"/>
              <w:ind w:left="53" w:right="298"/>
              <w:rPr>
                <w:sz w:val="20"/>
              </w:rPr>
            </w:pPr>
            <w:r>
              <w:rPr>
                <w:spacing w:val="-6"/>
                <w:sz w:val="20"/>
              </w:rPr>
              <w:t>Extraction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system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is </w:t>
            </w:r>
            <w:r>
              <w:rPr>
                <w:spacing w:val="-14"/>
                <w:sz w:val="20"/>
              </w:rPr>
              <w:t>operational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windows </w:t>
            </w:r>
            <w:r>
              <w:rPr>
                <w:sz w:val="20"/>
              </w:rPr>
              <w:t>can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opened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86" w:hRule="atLeast"/>
        </w:trPr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47" w:lineRule="auto" w:before="101"/>
        <w:ind w:left="112" w:right="4684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9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9"/>
      </w:pPr>
    </w:p>
    <w:p>
      <w:pPr>
        <w:pStyle w:val="BodyText"/>
        <w:tabs>
          <w:tab w:pos="3015" w:val="left" w:leader="none"/>
          <w:tab w:pos="9124" w:val="left" w:leader="none"/>
          <w:tab w:pos="9472" w:val="left" w:leader="none"/>
          <w:tab w:pos="10242" w:val="left" w:leader="none"/>
          <w:tab w:pos="10668" w:val="left" w:leader="none"/>
        </w:tabs>
        <w:spacing w:before="1"/>
        <w:ind w:left="112"/>
      </w:pPr>
      <w:r>
        <w:rPr>
          <w:spacing w:val="-2"/>
          <w:w w:val="90"/>
        </w:rPr>
        <w:t>Risk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Assessment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carried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out</w:t>
      </w:r>
      <w:r>
        <w:rPr>
          <w:spacing w:val="-19"/>
          <w:w w:val="90"/>
        </w:rPr>
        <w:t> </w:t>
      </w:r>
      <w:r>
        <w:rPr>
          <w:spacing w:val="-5"/>
          <w:w w:val="90"/>
        </w:rPr>
        <w:t>by: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  <w:w w:val="95"/>
        </w:rPr>
        <w:t>Date:</w:t>
      </w:r>
      <w:r>
        <w:rPr/>
        <w:tab/>
      </w:r>
      <w:r>
        <w:rPr>
          <w:spacing w:val="-10"/>
          <w:w w:val="95"/>
        </w:rPr>
        <w:t>/</w:t>
      </w:r>
      <w:r>
        <w:rPr/>
        <w:tab/>
      </w:r>
      <w:r>
        <w:rPr>
          <w:spacing w:val="-10"/>
          <w:w w:val="95"/>
        </w:rPr>
        <w:t>/</w:t>
      </w:r>
    </w:p>
    <w:p>
      <w:pPr>
        <w:tabs>
          <w:tab w:pos="14000" w:val="left" w:leader="none"/>
        </w:tabs>
        <w:spacing w:before="15"/>
        <w:ind w:left="110" w:right="0" w:firstLine="0"/>
        <w:jc w:val="left"/>
        <w:rPr>
          <w:sz w:val="14"/>
        </w:rPr>
      </w:pPr>
      <w:hyperlink r:id="rId5">
        <w:r>
          <w:rPr>
            <w:spacing w:val="-2"/>
            <w:sz w:val="16"/>
          </w:rPr>
          <w:t>www.stateclaims.ie/RiskManagement/Cleaning_staff_booklet.pdf</w:t>
        </w:r>
      </w:hyperlink>
      <w:r>
        <w:rPr>
          <w:sz w:val="16"/>
        </w:rPr>
        <w:tab/>
      </w:r>
      <w:r>
        <w:rPr>
          <w:spacing w:val="-4"/>
          <w:w w:val="90"/>
          <w:position w:val="1"/>
          <w:sz w:val="14"/>
        </w:rPr>
        <w:t>©</w:t>
      </w:r>
      <w:r>
        <w:rPr>
          <w:spacing w:val="-17"/>
          <w:w w:val="90"/>
          <w:position w:val="1"/>
          <w:sz w:val="14"/>
        </w:rPr>
        <w:t> </w:t>
      </w:r>
      <w:r>
        <w:rPr>
          <w:spacing w:val="-4"/>
          <w:w w:val="90"/>
          <w:position w:val="1"/>
          <w:sz w:val="14"/>
        </w:rPr>
        <w:t>All</w:t>
      </w:r>
      <w:r>
        <w:rPr>
          <w:spacing w:val="-17"/>
          <w:w w:val="90"/>
          <w:position w:val="1"/>
          <w:sz w:val="14"/>
        </w:rPr>
        <w:t> </w:t>
      </w:r>
      <w:r>
        <w:rPr>
          <w:spacing w:val="-4"/>
          <w:w w:val="90"/>
          <w:position w:val="1"/>
          <w:sz w:val="14"/>
        </w:rPr>
        <w:t>Rights</w:t>
      </w:r>
      <w:r>
        <w:rPr>
          <w:spacing w:val="-16"/>
          <w:w w:val="90"/>
          <w:position w:val="1"/>
          <w:sz w:val="14"/>
        </w:rPr>
        <w:t> </w:t>
      </w:r>
      <w:r>
        <w:rPr>
          <w:spacing w:val="-4"/>
          <w:w w:val="90"/>
          <w:position w:val="1"/>
          <w:sz w:val="14"/>
        </w:rPr>
        <w:t>Reserved</w:t>
      </w:r>
    </w:p>
    <w:sectPr>
      <w:pgSz w:w="16840" w:h="11910" w:orient="landscape"/>
      <w:pgMar w:top="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anklin Gothic Book">
    <w:altName w:val="Franklin Gothic Book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stateclaims.ie/RiskManagement/Cleaning_staff_booklet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2023-02-22T12:16:44Z</dcterms:created>
  <dcterms:modified xsi:type="dcterms:W3CDTF">2023-02-22T12:16:44Z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